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2D" w:rsidRPr="008D182D" w:rsidRDefault="008D182D" w:rsidP="008D182D">
      <w:pPr>
        <w:tabs>
          <w:tab w:val="left" w:pos="0"/>
        </w:tabs>
        <w:spacing w:after="0" w:line="240" w:lineRule="auto"/>
        <w:ind w:firstLine="720"/>
        <w:jc w:val="center"/>
        <w:rPr>
          <w:rFonts w:ascii="Times New Roman" w:eastAsia="Times New Roman" w:hAnsi="Times New Roman" w:cs="Times New Roman"/>
          <w:sz w:val="28"/>
          <w:szCs w:val="28"/>
          <w:u w:val="single"/>
          <w:lang w:eastAsia="ru-RU"/>
        </w:rPr>
      </w:pPr>
      <w:r w:rsidRPr="008D182D">
        <w:rPr>
          <w:rFonts w:ascii="Times New Roman" w:eastAsia="Times New Roman" w:hAnsi="Times New Roman" w:cs="Times New Roman"/>
          <w:sz w:val="28"/>
          <w:szCs w:val="28"/>
          <w:u w:val="single"/>
          <w:lang w:eastAsia="ru-RU"/>
        </w:rPr>
        <w:t>КОНТРОЛЬНО-СЧЕТНЫЙ ОРГАН БАЛАХТИНСКОГО РАЙОНА</w:t>
      </w:r>
    </w:p>
    <w:p w:rsidR="008D182D" w:rsidRPr="008D182D" w:rsidRDefault="008D182D" w:rsidP="008D182D">
      <w:pPr>
        <w:tabs>
          <w:tab w:val="left" w:pos="0"/>
        </w:tabs>
        <w:spacing w:after="0" w:line="240" w:lineRule="auto"/>
        <w:ind w:firstLine="720"/>
        <w:jc w:val="center"/>
        <w:rPr>
          <w:rFonts w:ascii="Times New Roman" w:eastAsia="Times New Roman" w:hAnsi="Times New Roman" w:cs="Times New Roman"/>
          <w:sz w:val="28"/>
          <w:szCs w:val="28"/>
          <w:lang w:eastAsia="ru-RU"/>
        </w:rPr>
      </w:pPr>
      <w:r w:rsidRPr="008D182D">
        <w:rPr>
          <w:rFonts w:ascii="Times New Roman" w:eastAsia="Times New Roman" w:hAnsi="Times New Roman" w:cs="Times New Roman"/>
          <w:sz w:val="28"/>
          <w:szCs w:val="28"/>
          <w:lang w:eastAsia="ru-RU"/>
        </w:rPr>
        <w:t xml:space="preserve">                                                                 </w:t>
      </w:r>
    </w:p>
    <w:p w:rsidR="008D182D" w:rsidRPr="008D182D" w:rsidRDefault="008D182D" w:rsidP="008D182D">
      <w:pPr>
        <w:tabs>
          <w:tab w:val="left" w:pos="0"/>
        </w:tabs>
        <w:spacing w:after="0" w:line="240" w:lineRule="auto"/>
        <w:ind w:firstLine="720"/>
        <w:jc w:val="center"/>
        <w:rPr>
          <w:rFonts w:ascii="Times New Roman" w:eastAsia="Times New Roman" w:hAnsi="Times New Roman" w:cs="Times New Roman"/>
          <w:sz w:val="28"/>
          <w:szCs w:val="28"/>
          <w:lang w:eastAsia="ru-RU"/>
        </w:rPr>
      </w:pPr>
      <w:r w:rsidRPr="008D182D">
        <w:rPr>
          <w:rFonts w:ascii="Times New Roman" w:eastAsia="Times New Roman" w:hAnsi="Times New Roman" w:cs="Times New Roman"/>
          <w:sz w:val="28"/>
          <w:szCs w:val="28"/>
          <w:lang w:eastAsia="ru-RU"/>
        </w:rPr>
        <w:t xml:space="preserve">                                                </w:t>
      </w:r>
    </w:p>
    <w:p w:rsidR="008D182D" w:rsidRPr="008D182D" w:rsidRDefault="008D182D" w:rsidP="008D182D">
      <w:pPr>
        <w:tabs>
          <w:tab w:val="left" w:pos="3836"/>
        </w:tabs>
        <w:spacing w:after="0" w:line="240" w:lineRule="atLeast"/>
        <w:jc w:val="center"/>
        <w:rPr>
          <w:rFonts w:ascii="Times New Roman" w:hAnsi="Times New Roman" w:cs="Times New Roman"/>
          <w:b/>
          <w:sz w:val="28"/>
          <w:szCs w:val="28"/>
        </w:rPr>
      </w:pPr>
    </w:p>
    <w:p w:rsidR="008D182D" w:rsidRPr="008D182D" w:rsidRDefault="008D182D" w:rsidP="008D182D">
      <w:pPr>
        <w:tabs>
          <w:tab w:val="left" w:pos="3836"/>
        </w:tabs>
        <w:spacing w:after="0" w:line="240" w:lineRule="atLeast"/>
        <w:jc w:val="center"/>
        <w:rPr>
          <w:rFonts w:ascii="Times New Roman" w:hAnsi="Times New Roman" w:cs="Times New Roman"/>
          <w:b/>
          <w:sz w:val="26"/>
          <w:szCs w:val="26"/>
        </w:rPr>
      </w:pPr>
      <w:r w:rsidRPr="008D182D">
        <w:rPr>
          <w:rFonts w:ascii="Times New Roman" w:hAnsi="Times New Roman" w:cs="Times New Roman"/>
          <w:b/>
          <w:sz w:val="26"/>
          <w:szCs w:val="26"/>
        </w:rPr>
        <w:t>Заключение</w:t>
      </w:r>
    </w:p>
    <w:p w:rsidR="008D182D" w:rsidRPr="008D182D" w:rsidRDefault="008D182D" w:rsidP="008D182D">
      <w:pPr>
        <w:widowControl w:val="0"/>
        <w:suppressAutoHyphens/>
        <w:spacing w:after="0" w:line="240" w:lineRule="atLeast"/>
        <w:ind w:hanging="15"/>
        <w:jc w:val="center"/>
        <w:textAlignment w:val="baseline"/>
        <w:rPr>
          <w:rFonts w:ascii="Times New Roman" w:eastAsia="Andale Sans UI" w:hAnsi="Times New Roman" w:cs="Times New Roman"/>
          <w:b/>
          <w:bCs/>
          <w:kern w:val="1"/>
          <w:sz w:val="26"/>
          <w:szCs w:val="26"/>
          <w:lang w:eastAsia="fa-IR" w:bidi="fa-IR"/>
        </w:rPr>
      </w:pPr>
      <w:r w:rsidRPr="008D182D">
        <w:rPr>
          <w:rFonts w:ascii="Times New Roman" w:eastAsia="Andale Sans UI" w:hAnsi="Times New Roman" w:cs="Times New Roman"/>
          <w:b/>
          <w:bCs/>
          <w:kern w:val="1"/>
          <w:sz w:val="26"/>
          <w:szCs w:val="26"/>
          <w:lang w:eastAsia="fa-IR" w:bidi="fa-IR"/>
        </w:rPr>
        <w:t xml:space="preserve">на годовой отчёт об исполнении районного бюджета </w:t>
      </w:r>
    </w:p>
    <w:p w:rsidR="008D182D" w:rsidRPr="008D182D" w:rsidRDefault="008D182D" w:rsidP="008D182D">
      <w:pPr>
        <w:widowControl w:val="0"/>
        <w:suppressAutoHyphens/>
        <w:spacing w:after="0" w:line="240" w:lineRule="atLeast"/>
        <w:ind w:hanging="15"/>
        <w:jc w:val="center"/>
        <w:textAlignment w:val="baseline"/>
        <w:rPr>
          <w:rFonts w:ascii="Times New Roman" w:eastAsia="Andale Sans UI" w:hAnsi="Times New Roman" w:cs="Times New Roman"/>
          <w:b/>
          <w:bCs/>
          <w:kern w:val="1"/>
          <w:sz w:val="26"/>
          <w:szCs w:val="26"/>
          <w:lang w:eastAsia="fa-IR" w:bidi="fa-IR"/>
        </w:rPr>
      </w:pPr>
      <w:r w:rsidRPr="008D182D">
        <w:rPr>
          <w:rFonts w:ascii="Times New Roman" w:eastAsia="Andale Sans UI" w:hAnsi="Times New Roman" w:cs="Times New Roman"/>
          <w:b/>
          <w:bCs/>
          <w:kern w:val="1"/>
          <w:sz w:val="26"/>
          <w:szCs w:val="26"/>
          <w:lang w:eastAsia="fa-IR" w:bidi="fa-IR"/>
        </w:rPr>
        <w:t>муниципального образования Балахтинский район за 2021 год</w:t>
      </w:r>
    </w:p>
    <w:p w:rsidR="008D182D" w:rsidRPr="008D182D" w:rsidRDefault="008D182D" w:rsidP="008D182D">
      <w:pPr>
        <w:widowControl w:val="0"/>
        <w:suppressAutoHyphens/>
        <w:spacing w:after="0" w:line="240" w:lineRule="atLeast"/>
        <w:ind w:hanging="15"/>
        <w:jc w:val="center"/>
        <w:textAlignment w:val="baseline"/>
        <w:rPr>
          <w:rFonts w:ascii="Times New Roman" w:eastAsia="Andale Sans UI" w:hAnsi="Times New Roman" w:cs="Times New Roman"/>
          <w:b/>
          <w:bCs/>
          <w:kern w:val="1"/>
          <w:sz w:val="26"/>
          <w:szCs w:val="26"/>
          <w:lang w:eastAsia="fa-IR" w:bidi="fa-IR"/>
        </w:rPr>
      </w:pPr>
    </w:p>
    <w:p w:rsidR="008D182D" w:rsidRPr="008D182D" w:rsidRDefault="008D182D" w:rsidP="008D182D">
      <w:pPr>
        <w:autoSpaceDE w:val="0"/>
        <w:autoSpaceDN w:val="0"/>
        <w:adjustRightInd w:val="0"/>
        <w:spacing w:after="0" w:line="240" w:lineRule="atLeast"/>
        <w:ind w:firstLine="720"/>
        <w:jc w:val="both"/>
        <w:rPr>
          <w:rFonts w:ascii="Times New Roman" w:hAnsi="Times New Roman" w:cs="Times New Roman"/>
          <w:bCs/>
          <w:sz w:val="26"/>
          <w:szCs w:val="26"/>
        </w:rPr>
      </w:pPr>
      <w:r w:rsidRPr="008D182D">
        <w:rPr>
          <w:rFonts w:ascii="Times New Roman" w:hAnsi="Times New Roman" w:cs="Times New Roman"/>
          <w:color w:val="000000"/>
          <w:sz w:val="26"/>
          <w:szCs w:val="26"/>
        </w:rPr>
        <w:t xml:space="preserve">Внешняя проверка годового отчета об исполнении районного бюджета за 2020 год проведена на основании статей 264.4, 268.1 Бюджетного кодекса Российской Федерации (далее – БК РФ), </w:t>
      </w:r>
      <w:r w:rsidRPr="008D182D">
        <w:rPr>
          <w:rFonts w:ascii="Times New Roman" w:hAnsi="Times New Roman" w:cs="Times New Roman"/>
          <w:bCs/>
          <w:sz w:val="26"/>
          <w:szCs w:val="26"/>
        </w:rPr>
        <w:t xml:space="preserve">статьи 52 Положения о бюджетном процессе в Балахтинском районе, утвержденного решением Балахтинского районного Совета депутатов от 27.11.2019 года № 32-376р </w:t>
      </w:r>
      <w:r w:rsidRPr="008D182D">
        <w:rPr>
          <w:rFonts w:ascii="Times New Roman" w:hAnsi="Times New Roman" w:cs="Times New Roman"/>
          <w:color w:val="000000"/>
          <w:sz w:val="26"/>
          <w:szCs w:val="26"/>
        </w:rPr>
        <w:t>(далее – Положение о бюджетном процессе).</w:t>
      </w:r>
    </w:p>
    <w:p w:rsidR="008D182D" w:rsidRPr="008D182D" w:rsidRDefault="008D182D" w:rsidP="008D182D">
      <w:pPr>
        <w:spacing w:after="0" w:line="240" w:lineRule="atLeast"/>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u w:val="single"/>
        </w:rPr>
        <w:t>Цель проверки</w:t>
      </w:r>
      <w:r w:rsidRPr="008D182D">
        <w:rPr>
          <w:rFonts w:ascii="Times New Roman" w:hAnsi="Times New Roman" w:cs="Times New Roman"/>
          <w:color w:val="000000"/>
          <w:sz w:val="26"/>
          <w:szCs w:val="26"/>
        </w:rPr>
        <w:t>: контроль достоверности годового отчета об исполнении районного бюджета, законности и результативности деятельности по исполнению районного бюджета в 2021 году, с учетом имеющихся ограничений.</w:t>
      </w:r>
    </w:p>
    <w:p w:rsidR="008D182D" w:rsidRPr="008D182D" w:rsidRDefault="008D182D" w:rsidP="008D182D">
      <w:pPr>
        <w:spacing w:after="0" w:line="0" w:lineRule="atLeast"/>
        <w:ind w:right="-1" w:firstLine="709"/>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u w:val="single"/>
          <w:lang w:eastAsia="ru-RU"/>
        </w:rPr>
        <w:t>Задачи проверки</w:t>
      </w:r>
      <w:r w:rsidRPr="008D182D">
        <w:rPr>
          <w:rFonts w:ascii="Times New Roman" w:eastAsia="Calibri" w:hAnsi="Times New Roman" w:cs="Times New Roman"/>
          <w:color w:val="000000"/>
          <w:sz w:val="26"/>
          <w:szCs w:val="26"/>
          <w:lang w:eastAsia="ru-RU"/>
        </w:rPr>
        <w:t xml:space="preserve">:  </w:t>
      </w:r>
    </w:p>
    <w:p w:rsidR="008D182D" w:rsidRPr="008D182D" w:rsidRDefault="008D182D" w:rsidP="008D182D">
      <w:pPr>
        <w:spacing w:after="0" w:line="0" w:lineRule="atLeast"/>
        <w:ind w:right="-1" w:firstLine="709"/>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lang w:eastAsia="ru-RU"/>
        </w:rPr>
        <w:t>-установление полноты и достоверности годового отчета об исполнении районного бюджета;</w:t>
      </w:r>
    </w:p>
    <w:p w:rsidR="008D182D" w:rsidRPr="008D182D" w:rsidRDefault="008D182D" w:rsidP="008D182D">
      <w:pPr>
        <w:spacing w:after="0" w:line="0" w:lineRule="atLeast"/>
        <w:ind w:right="-1" w:firstLine="709"/>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lang w:eastAsia="ru-RU"/>
        </w:rPr>
        <w:t>-оценка формирования и исполнения доходной и расходной частей районного бюджета, дефицита (профицита) районного бюджета.</w:t>
      </w:r>
    </w:p>
    <w:p w:rsidR="008D182D" w:rsidRPr="008D182D" w:rsidRDefault="008D182D" w:rsidP="008D182D">
      <w:pPr>
        <w:spacing w:after="0" w:line="0" w:lineRule="atLeast"/>
        <w:ind w:right="-1" w:firstLine="709"/>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u w:val="single"/>
          <w:lang w:eastAsia="ru-RU"/>
        </w:rPr>
        <w:t>Предмет проверки</w:t>
      </w:r>
      <w:r w:rsidRPr="008D182D">
        <w:rPr>
          <w:rFonts w:ascii="Times New Roman" w:eastAsia="Calibri" w:hAnsi="Times New Roman" w:cs="Times New Roman"/>
          <w:color w:val="000000"/>
          <w:sz w:val="26"/>
          <w:szCs w:val="26"/>
          <w:lang w:eastAsia="ru-RU"/>
        </w:rPr>
        <w:t>: годовой отчет об исполнении районного бюджета, документы, представленные в Контрольно-счетный орган в соответствии с требованиями Положения о бюджетном процессе в Балахтинском районе.</w:t>
      </w:r>
    </w:p>
    <w:p w:rsidR="008D182D" w:rsidRPr="008D182D" w:rsidRDefault="008D182D" w:rsidP="008D182D">
      <w:pPr>
        <w:spacing w:after="0" w:line="276" w:lineRule="auto"/>
        <w:ind w:right="-1"/>
        <w:jc w:val="center"/>
        <w:rPr>
          <w:rFonts w:ascii="Times New Roman" w:eastAsia="Calibri" w:hAnsi="Times New Roman" w:cs="Times New Roman"/>
          <w:b/>
          <w:color w:val="000000"/>
          <w:sz w:val="26"/>
          <w:szCs w:val="26"/>
          <w:lang w:eastAsia="ru-RU"/>
        </w:rPr>
      </w:pPr>
      <w:r w:rsidRPr="008D182D">
        <w:rPr>
          <w:rFonts w:ascii="Times New Roman" w:eastAsia="Calibri" w:hAnsi="Times New Roman" w:cs="Times New Roman"/>
          <w:b/>
          <w:color w:val="000000"/>
          <w:sz w:val="26"/>
          <w:szCs w:val="26"/>
          <w:lang w:eastAsia="ru-RU"/>
        </w:rPr>
        <w:t xml:space="preserve"> Общие положения</w:t>
      </w:r>
    </w:p>
    <w:p w:rsidR="008D182D" w:rsidRPr="008D182D" w:rsidRDefault="008D182D" w:rsidP="008D182D">
      <w:pPr>
        <w:spacing w:after="0" w:line="0" w:lineRule="atLeast"/>
        <w:ind w:left="709"/>
        <w:jc w:val="both"/>
        <w:rPr>
          <w:rFonts w:ascii="Times New Roman" w:hAnsi="Times New Roman" w:cs="Times New Roman"/>
          <w:bCs/>
          <w:color w:val="000000"/>
          <w:sz w:val="26"/>
          <w:szCs w:val="26"/>
        </w:rPr>
      </w:pPr>
      <w:r w:rsidRPr="008D182D">
        <w:rPr>
          <w:rFonts w:ascii="Times New Roman" w:hAnsi="Times New Roman" w:cs="Times New Roman"/>
          <w:color w:val="000000"/>
          <w:sz w:val="26"/>
          <w:szCs w:val="26"/>
        </w:rPr>
        <w:t xml:space="preserve">Годовой отчет об исполнении районного бюджета за 2021 год представлен в контрольно- счетный орган Балахтинского района администрацией Балахтинского района (далее – администрация района) с соблюдением срока, установленного статьей 264.4 БК РФ и статьей 52 Положения о бюджетном процессе. </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 xml:space="preserve">Одновременно с отчетом об исполнении районного бюджета за 2021 год администрацией района представлена следующая отчетная документация: </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-баланс исполнения районного бюджета;</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-отчет о финансовых результатах деятельности;</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-отчет о движении денежных средств;</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-пояснительная записка.</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Отчет об использовании средств резервного фонда не составлялся по причине отсутствия чрезвычайных ситуаций.</w:t>
      </w:r>
    </w:p>
    <w:p w:rsidR="008D182D" w:rsidRPr="008D182D" w:rsidRDefault="008D182D" w:rsidP="008D182D">
      <w:pPr>
        <w:spacing w:after="0" w:line="0" w:lineRule="atLeast"/>
        <w:ind w:firstLine="709"/>
        <w:jc w:val="both"/>
        <w:rPr>
          <w:rFonts w:ascii="Times New Roman" w:hAnsi="Times New Roman" w:cs="Times New Roman"/>
          <w:b/>
          <w:sz w:val="26"/>
          <w:szCs w:val="26"/>
        </w:rPr>
      </w:pPr>
      <w:r w:rsidRPr="008D182D">
        <w:rPr>
          <w:rFonts w:ascii="Times New Roman" w:hAnsi="Times New Roman" w:cs="Times New Roman"/>
          <w:b/>
          <w:sz w:val="26"/>
          <w:szCs w:val="26"/>
        </w:rPr>
        <w:t>Оценка полноты и достоверности отчета об исполнении районного бюджета.</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t>Годовой отчет об исполнении районного бюджета за 2021 год рассмотрен  с учетом результатов внешней проверки годовой бюджетной отчетности 8 главных администраторов бюджетных средств. Внешняя проверка годовой бюджетной отчетности ГАБС осуществлялась в форме камеральной проверки. Всего в ходе внешней проверки выявлено 41 нарушение (недостатки), в том числе нарушение требований Инструкции 191н - 19; не отражение операций по счетам -15; технические ошибки при составлении отчета - 4, не проведение инвентаризации -2.</w:t>
      </w:r>
    </w:p>
    <w:p w:rsidR="008D182D" w:rsidRPr="008D182D" w:rsidRDefault="008D182D" w:rsidP="008D182D">
      <w:pPr>
        <w:spacing w:after="0" w:line="0" w:lineRule="atLeast"/>
        <w:ind w:firstLine="709"/>
        <w:jc w:val="both"/>
        <w:rPr>
          <w:rFonts w:ascii="Times New Roman" w:hAnsi="Times New Roman" w:cs="Times New Roman"/>
          <w:sz w:val="26"/>
          <w:szCs w:val="26"/>
        </w:rPr>
      </w:pPr>
      <w:r w:rsidRPr="008D182D">
        <w:rPr>
          <w:rFonts w:ascii="Times New Roman" w:hAnsi="Times New Roman" w:cs="Times New Roman"/>
          <w:sz w:val="26"/>
          <w:szCs w:val="26"/>
        </w:rPr>
        <w:lastRenderedPageBreak/>
        <w:t>В ходе внешней проверки выявлены факты, способные негативно повлиять на достоверность  бюджетной отчетности у 9 ГАБС.</w:t>
      </w:r>
    </w:p>
    <w:p w:rsidR="008D182D" w:rsidRPr="008D182D" w:rsidRDefault="008D182D" w:rsidP="008D182D">
      <w:pPr>
        <w:suppressAutoHyphens/>
        <w:spacing w:after="0" w:line="100" w:lineRule="atLeast"/>
        <w:ind w:firstLine="709"/>
        <w:jc w:val="both"/>
        <w:rPr>
          <w:rFonts w:ascii="Times New Roman" w:eastAsia="Times New Roman" w:hAnsi="Times New Roman" w:cs="Times New Roman"/>
          <w:sz w:val="26"/>
          <w:szCs w:val="26"/>
          <w:lang w:eastAsia="ar-SA"/>
        </w:rPr>
      </w:pPr>
      <w:r w:rsidRPr="008D182D">
        <w:rPr>
          <w:rFonts w:ascii="Times New Roman" w:hAnsi="Times New Roman" w:cs="Times New Roman"/>
          <w:sz w:val="26"/>
          <w:szCs w:val="26"/>
        </w:rPr>
        <w:t>Негативное влияние на достоверность бюджетной отчетности оказало:</w:t>
      </w:r>
      <w:r w:rsidRPr="008D182D">
        <w:rPr>
          <w:rFonts w:ascii="Times New Roman" w:eastAsia="Times New Roman" w:hAnsi="Times New Roman" w:cs="Times New Roman"/>
          <w:sz w:val="26"/>
          <w:szCs w:val="26"/>
          <w:lang w:eastAsia="ru-RU"/>
        </w:rPr>
        <w:t xml:space="preserve"> не отражение в бюджетном учете операций по счетам </w:t>
      </w:r>
      <w:r w:rsidRPr="008D182D">
        <w:rPr>
          <w:rFonts w:ascii="Times New Roman" w:eastAsia="Times New Roman" w:hAnsi="Times New Roman" w:cs="Times New Roman"/>
          <w:sz w:val="26"/>
          <w:szCs w:val="26"/>
          <w:lang w:eastAsia="ar-SA"/>
        </w:rPr>
        <w:t>0 501 23 000 «Лимиты бюджетных обязательств первого года, следующего за текущим (очередного финансового года)», счет 0 501 33 000 «Лимиты бюджетных обязательств второго года, следующего за текущим(первого года, следующего за очередным)» в нарушение п.п.309,315,316 Инструкции № 157н;   по счету 0 502 99 000 «Отложенные обязательства на иные очередные годы(за пределами планового периода)» в нарушение статьи 264.1 Бюджетного кодекса РФ, п.7 Федерального стандарта № 124н, п.п.302.1,308,309 Инструкции № 157Н, раздела 3 Методических рекомендаций по применению положений СГС «Резервы. Раскрытие информации об условных обязательствах и условных активах, письма Минфина России от 14.01.2016 № 02-07-10/604; не соответствие утвержденных лимитов, доведенных бюджетной росписью по  счету 0 501 13 000 «Лимиты бюджетных обязательств текущего финансового года»  показателям графы 5 Отчета о бюджетных обязательствах  (ф.0503128) и раздела 3 Сведений о принятых и неисполненных обязательствах получателя бюджетных средств (ф.0503175);  принятие к учету активов по стоимости, не соответствующей стоимости, отраженной в документах, подтверждающих переход прав (МКУ УИЗИЗ –автомобиль Тойота Камри), не проведение перед составление годовой бюджетной отчетности инвентаризации активов и обязательств (МКУ Служба заказчика»), не проведение инвентаризации имущества казны (МКУ УИЗИЗ).</w:t>
      </w:r>
    </w:p>
    <w:p w:rsidR="008D182D" w:rsidRPr="008D182D" w:rsidRDefault="008D182D" w:rsidP="008D182D">
      <w:pPr>
        <w:suppressAutoHyphens/>
        <w:spacing w:after="0" w:line="100" w:lineRule="atLeast"/>
        <w:ind w:firstLine="709"/>
        <w:jc w:val="both"/>
        <w:rPr>
          <w:rFonts w:ascii="Times New Roman" w:eastAsia="Times New Roman" w:hAnsi="Times New Roman" w:cs="Times New Roman"/>
          <w:sz w:val="26"/>
          <w:szCs w:val="26"/>
          <w:lang w:eastAsia="ar-SA"/>
        </w:rPr>
      </w:pPr>
      <w:r w:rsidRPr="008D182D">
        <w:rPr>
          <w:rFonts w:ascii="Times New Roman" w:eastAsia="Times New Roman" w:hAnsi="Times New Roman" w:cs="Times New Roman"/>
          <w:sz w:val="26"/>
          <w:szCs w:val="26"/>
          <w:lang w:eastAsia="ar-SA"/>
        </w:rPr>
        <w:t>Результаты проверок по каждому главному администратору бюджетных средств оформлены заключениями и направлены в адрес главных администраторов бюджетных средств.</w:t>
      </w:r>
    </w:p>
    <w:p w:rsidR="008D182D" w:rsidRPr="008D182D" w:rsidRDefault="008D182D" w:rsidP="008D182D">
      <w:pPr>
        <w:widowControl w:val="0"/>
        <w:suppressAutoHyphens/>
        <w:spacing w:after="0" w:line="240" w:lineRule="atLeast"/>
        <w:ind w:firstLine="709"/>
        <w:jc w:val="center"/>
        <w:textAlignment w:val="baseline"/>
        <w:rPr>
          <w:rFonts w:ascii="Times New Roman" w:eastAsia="Andale Sans UI" w:hAnsi="Times New Roman" w:cs="Times New Roman"/>
          <w:b/>
          <w:kern w:val="1"/>
          <w:sz w:val="26"/>
          <w:szCs w:val="26"/>
          <w:lang w:eastAsia="fa-IR" w:bidi="fa-IR"/>
        </w:rPr>
      </w:pPr>
      <w:r w:rsidRPr="008D182D">
        <w:rPr>
          <w:rFonts w:ascii="Times New Roman" w:eastAsia="Andale Sans UI" w:hAnsi="Times New Roman" w:cs="Times New Roman"/>
          <w:b/>
          <w:kern w:val="1"/>
          <w:sz w:val="26"/>
          <w:szCs w:val="26"/>
          <w:lang w:eastAsia="fa-IR" w:bidi="fa-IR"/>
        </w:rPr>
        <w:t>Анализ  дебиторской и кредиторской задолженности</w:t>
      </w:r>
    </w:p>
    <w:p w:rsidR="008D182D" w:rsidRPr="008D182D" w:rsidRDefault="008D182D" w:rsidP="008D182D">
      <w:pPr>
        <w:widowControl w:val="0"/>
        <w:suppressAutoHyphens/>
        <w:spacing w:after="0" w:line="240" w:lineRule="atLeast"/>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Показатели сведений по дебиторской и кредиторской задолженности формы 0503369 подтверждены Балансом формы 0503320.</w:t>
      </w:r>
    </w:p>
    <w:p w:rsidR="008D182D" w:rsidRPr="008D182D" w:rsidRDefault="008D182D" w:rsidP="008D182D">
      <w:pPr>
        <w:widowControl w:val="0"/>
        <w:suppressAutoHyphens/>
        <w:spacing w:after="0" w:line="240" w:lineRule="atLeast"/>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Дебиторская задолженность на конец года составила 1318326,1 тыс. рублей, в том числе:</w:t>
      </w:r>
    </w:p>
    <w:p w:rsidR="008D182D" w:rsidRPr="008D182D" w:rsidRDefault="008D182D" w:rsidP="008D182D">
      <w:pPr>
        <w:widowControl w:val="0"/>
        <w:suppressAutoHyphens/>
        <w:spacing w:after="0" w:line="240" w:lineRule="atLeast"/>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-расчеты по налоговым доходам по счету 020500000 в размере 1318240,1 тыс. рублей;</w:t>
      </w:r>
    </w:p>
    <w:p w:rsidR="008D182D" w:rsidRPr="008D182D" w:rsidRDefault="008D182D" w:rsidP="008D182D">
      <w:pPr>
        <w:widowControl w:val="0"/>
        <w:suppressAutoHyphens/>
        <w:spacing w:after="0" w:line="240" w:lineRule="atLeast"/>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-расчеты по счетам 020600000,020800000,030300000 в размере 96,0 тыс. рублей.</w:t>
      </w:r>
    </w:p>
    <w:p w:rsidR="008D182D" w:rsidRPr="008D182D" w:rsidRDefault="008D182D" w:rsidP="008D182D">
      <w:pPr>
        <w:widowControl w:val="0"/>
        <w:suppressAutoHyphens/>
        <w:spacing w:before="28" w:after="0" w:line="240" w:lineRule="auto"/>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Кредиторская задолженность на конец года сложилась в сумме 20861,6 тыс. рублей,:</w:t>
      </w:r>
    </w:p>
    <w:p w:rsidR="008D182D" w:rsidRPr="008D182D" w:rsidRDefault="008D182D" w:rsidP="008D182D">
      <w:pPr>
        <w:spacing w:after="0" w:line="240" w:lineRule="atLeast"/>
        <w:ind w:firstLine="567"/>
        <w:jc w:val="both"/>
        <w:rPr>
          <w:rFonts w:ascii="Times New Roman" w:hAnsi="Times New Roman" w:cs="Times New Roman"/>
          <w:sz w:val="26"/>
          <w:szCs w:val="26"/>
        </w:rPr>
      </w:pPr>
      <w:r w:rsidRPr="008D182D">
        <w:rPr>
          <w:rFonts w:ascii="Times New Roman" w:hAnsi="Times New Roman" w:cs="Times New Roman"/>
          <w:sz w:val="26"/>
          <w:szCs w:val="26"/>
        </w:rPr>
        <w:t>-бюджетный кредит в сумме 15200,0 тыс. рублей;</w:t>
      </w:r>
    </w:p>
    <w:p w:rsidR="008D182D" w:rsidRPr="008D182D" w:rsidRDefault="008D182D" w:rsidP="008D182D">
      <w:pPr>
        <w:spacing w:after="0" w:line="240" w:lineRule="atLeast"/>
        <w:ind w:firstLine="567"/>
        <w:jc w:val="both"/>
        <w:rPr>
          <w:rFonts w:ascii="Times New Roman" w:hAnsi="Times New Roman" w:cs="Times New Roman"/>
          <w:sz w:val="26"/>
          <w:szCs w:val="26"/>
        </w:rPr>
      </w:pPr>
      <w:r w:rsidRPr="008D182D">
        <w:rPr>
          <w:rFonts w:ascii="Times New Roman" w:hAnsi="Times New Roman" w:cs="Times New Roman"/>
          <w:sz w:val="26"/>
          <w:szCs w:val="26"/>
        </w:rPr>
        <w:t>-расчеты по  налоговым доходам в сумме 753,0 тыс. рублей;</w:t>
      </w:r>
    </w:p>
    <w:p w:rsidR="008D182D" w:rsidRPr="008D182D" w:rsidRDefault="008D182D" w:rsidP="008D182D">
      <w:pPr>
        <w:spacing w:after="0" w:line="240" w:lineRule="atLeast"/>
        <w:ind w:firstLine="567"/>
        <w:jc w:val="both"/>
        <w:rPr>
          <w:rFonts w:ascii="Times New Roman" w:hAnsi="Times New Roman" w:cs="Times New Roman"/>
          <w:sz w:val="26"/>
          <w:szCs w:val="26"/>
        </w:rPr>
      </w:pPr>
      <w:r w:rsidRPr="008D182D">
        <w:rPr>
          <w:rFonts w:ascii="Times New Roman" w:hAnsi="Times New Roman" w:cs="Times New Roman"/>
          <w:sz w:val="26"/>
          <w:szCs w:val="26"/>
        </w:rPr>
        <w:t>-расчеты по начислениям на оплату труда 211,0 тыс. рублей;</w:t>
      </w:r>
    </w:p>
    <w:p w:rsidR="008D182D" w:rsidRPr="008D182D" w:rsidRDefault="008D182D" w:rsidP="008D182D">
      <w:pPr>
        <w:spacing w:after="0" w:line="240" w:lineRule="atLeast"/>
        <w:ind w:firstLine="567"/>
        <w:jc w:val="both"/>
        <w:rPr>
          <w:rFonts w:ascii="Times New Roman" w:hAnsi="Times New Roman" w:cs="Times New Roman"/>
          <w:sz w:val="26"/>
          <w:szCs w:val="26"/>
        </w:rPr>
      </w:pPr>
      <w:r w:rsidRPr="008D182D">
        <w:rPr>
          <w:rFonts w:ascii="Times New Roman" w:hAnsi="Times New Roman" w:cs="Times New Roman"/>
          <w:sz w:val="26"/>
          <w:szCs w:val="26"/>
        </w:rPr>
        <w:t xml:space="preserve">- расчеты по счетам 03020000,020800000,030402000,030403000- 4697,4 тыс. рублей. </w:t>
      </w:r>
    </w:p>
    <w:p w:rsidR="008D182D" w:rsidRPr="008D182D" w:rsidRDefault="008D182D" w:rsidP="008D182D">
      <w:pPr>
        <w:widowControl w:val="0"/>
        <w:suppressAutoHyphens/>
        <w:spacing w:before="28" w:after="0" w:line="240" w:lineRule="auto"/>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6"/>
          <w:szCs w:val="26"/>
          <w:lang w:eastAsia="fa-IR" w:bidi="fa-IR"/>
        </w:rPr>
        <w:t>Кредиторская задолженность на конец года сложилась в сумме 4908,6 тыс. рублей без учета бюджетного кредита и расчетов по налоговым доходам, в сравнении с прошлым периодом кредиторская задолженность уменьшилась более чем в 2 раза (на конец прошлого периода кредиторская задолженность составляла-10484,7 тыс. рублей).</w:t>
      </w:r>
    </w:p>
    <w:p w:rsidR="008D182D" w:rsidRPr="008D182D" w:rsidRDefault="008D182D" w:rsidP="008D182D">
      <w:pPr>
        <w:spacing w:after="0" w:line="240" w:lineRule="auto"/>
        <w:contextualSpacing/>
        <w:jc w:val="center"/>
        <w:rPr>
          <w:rFonts w:ascii="Times New Roman" w:eastAsia="Calibri" w:hAnsi="Times New Roman" w:cs="Times New Roman"/>
          <w:b/>
          <w:color w:val="000000"/>
          <w:sz w:val="26"/>
          <w:szCs w:val="26"/>
          <w:lang w:eastAsia="ru-RU"/>
        </w:rPr>
      </w:pPr>
      <w:r w:rsidRPr="008D182D">
        <w:rPr>
          <w:rFonts w:ascii="Times New Roman" w:eastAsia="Calibri" w:hAnsi="Times New Roman" w:cs="Times New Roman"/>
          <w:b/>
          <w:color w:val="000000"/>
          <w:sz w:val="26"/>
          <w:szCs w:val="26"/>
          <w:lang w:eastAsia="ru-RU"/>
        </w:rPr>
        <w:t>Анализ основных параметров районного бюджета за 2021год</w:t>
      </w:r>
    </w:p>
    <w:p w:rsidR="008D182D" w:rsidRPr="008D182D" w:rsidRDefault="008D182D" w:rsidP="008D182D">
      <w:pPr>
        <w:spacing w:after="0" w:line="240" w:lineRule="auto"/>
        <w:contextualSpacing/>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b/>
          <w:color w:val="000000"/>
          <w:sz w:val="26"/>
          <w:szCs w:val="26"/>
          <w:lang w:eastAsia="ru-RU"/>
        </w:rPr>
        <w:lastRenderedPageBreak/>
        <w:t xml:space="preserve"> </w:t>
      </w:r>
      <w:r w:rsidRPr="008D182D">
        <w:rPr>
          <w:rFonts w:ascii="Times New Roman" w:eastAsia="Calibri" w:hAnsi="Times New Roman" w:cs="Times New Roman"/>
          <w:color w:val="000000"/>
          <w:sz w:val="26"/>
          <w:szCs w:val="26"/>
          <w:lang w:eastAsia="ru-RU"/>
        </w:rPr>
        <w:t>Бюджет Балахтинского района на 2021год утвержден решением Балахтинского районного Совета депутатов от 20.12.2019г.№ 33-388 «О районном бюджете на 2020 год и плановый период 2021-2022 годов».</w:t>
      </w:r>
    </w:p>
    <w:p w:rsidR="008D182D" w:rsidRPr="008D182D" w:rsidRDefault="008D182D" w:rsidP="008D182D">
      <w:pPr>
        <w:spacing w:after="0" w:line="240" w:lineRule="auto"/>
        <w:contextualSpacing/>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В течение 2020 года в районный бюджет внесено 4 изменения, утвержденных решениями Балахтинского районного Совета депутатов.</w:t>
      </w:r>
    </w:p>
    <w:p w:rsidR="008D182D" w:rsidRPr="008D182D" w:rsidRDefault="008D182D" w:rsidP="008D182D">
      <w:pPr>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Бюджет сформирован с дефицитом бюджета в первоначальной редакции 1562,5 тыс. рублей, в редакции от 23.12.2020г. с дефицитом бюджета 12498,0 тыс. рублей, фактически в отчетном периоде профицит бюджета   составил 602,4 тыс. рублей.</w:t>
      </w:r>
    </w:p>
    <w:p w:rsidR="008D182D" w:rsidRPr="008D182D" w:rsidRDefault="008D182D" w:rsidP="008D182D">
      <w:pPr>
        <w:autoSpaceDE w:val="0"/>
        <w:autoSpaceDN w:val="0"/>
        <w:adjustRightInd w:val="0"/>
        <w:spacing w:after="0" w:line="276" w:lineRule="auto"/>
        <w:ind w:firstLine="709"/>
        <w:jc w:val="right"/>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2298"/>
        <w:gridCol w:w="2178"/>
        <w:gridCol w:w="2387"/>
      </w:tblGrid>
      <w:tr w:rsidR="008D182D" w:rsidRPr="008D182D" w:rsidTr="00F00E89">
        <w:tc>
          <w:tcPr>
            <w:tcW w:w="2808" w:type="dxa"/>
            <w:shd w:val="clear" w:color="auto" w:fill="D9D9D9" w:themeFill="background1" w:themeFillShade="D9"/>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Наименование</w:t>
            </w:r>
          </w:p>
        </w:tc>
        <w:tc>
          <w:tcPr>
            <w:tcW w:w="2340" w:type="dxa"/>
            <w:shd w:val="clear" w:color="auto" w:fill="D9D9D9" w:themeFill="background1" w:themeFillShade="D9"/>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 xml:space="preserve">Решение сессии от </w:t>
            </w:r>
          </w:p>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23.12.2020г.№ 3-29р</w:t>
            </w:r>
          </w:p>
        </w:tc>
        <w:tc>
          <w:tcPr>
            <w:tcW w:w="2226" w:type="dxa"/>
            <w:shd w:val="clear" w:color="auto" w:fill="D9D9D9" w:themeFill="background1" w:themeFillShade="D9"/>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Решение сессии от 21.12.2021г. № 12-108р</w:t>
            </w:r>
          </w:p>
        </w:tc>
        <w:tc>
          <w:tcPr>
            <w:tcW w:w="2458" w:type="dxa"/>
            <w:shd w:val="clear" w:color="auto" w:fill="D9D9D9" w:themeFill="background1" w:themeFillShade="D9"/>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отчет</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Доходы, в том числе:</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1042844,2</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1334835,4</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1278815,6</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безвозмездные поступления</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928782,6</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1198006,0</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1139505,6</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доходы без учета безвозмездных поступлений</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114061,6</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136829,4</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139310,0</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Расходы</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1044363,5</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1348682,1</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1287567,1</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 xml:space="preserve">Дефицит(-)/Профицит (+) </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1519,3</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-13846,7</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248,5</w:t>
            </w:r>
          </w:p>
        </w:tc>
      </w:tr>
      <w:tr w:rsidR="008D182D" w:rsidRPr="008D182D" w:rsidTr="00F00E89">
        <w:tc>
          <w:tcPr>
            <w:tcW w:w="280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Доля дефицита от доходной части бюджета без учета безвозмездных поступлений</w:t>
            </w:r>
          </w:p>
        </w:tc>
        <w:tc>
          <w:tcPr>
            <w:tcW w:w="2340"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1,33</w:t>
            </w:r>
          </w:p>
        </w:tc>
        <w:tc>
          <w:tcPr>
            <w:tcW w:w="2226"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10,1</w:t>
            </w:r>
          </w:p>
        </w:tc>
        <w:tc>
          <w:tcPr>
            <w:tcW w:w="2458" w:type="dxa"/>
            <w:shd w:val="clear" w:color="auto" w:fill="auto"/>
          </w:tcPr>
          <w:p w:rsidR="008D182D" w:rsidRPr="008D182D" w:rsidRDefault="008D182D" w:rsidP="008D182D">
            <w:pPr>
              <w:autoSpaceDE w:val="0"/>
              <w:autoSpaceDN w:val="0"/>
              <w:adjustRightInd w:val="0"/>
              <w:spacing w:after="0" w:line="276" w:lineRule="auto"/>
              <w:jc w:val="both"/>
              <w:rPr>
                <w:rFonts w:ascii="Times New Roman" w:eastAsia="Times New Roman" w:hAnsi="Times New Roman" w:cs="Times New Roman"/>
                <w:color w:val="000000"/>
                <w:lang w:eastAsia="ru-RU"/>
              </w:rPr>
            </w:pPr>
          </w:p>
        </w:tc>
      </w:tr>
    </w:tbl>
    <w:p w:rsidR="008D182D" w:rsidRPr="008D182D" w:rsidRDefault="008D182D" w:rsidP="008D182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D182D" w:rsidRPr="008D182D" w:rsidRDefault="008D182D" w:rsidP="008D182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Внесение изменений в Решение о бюджете на 2021 год в основном связано с корректировкой налоговых и неналоговых доходов, а также поступлением из бюджетов других уровней в течение отчетного финансового года, необходимостью перераспределения бюджетных ассигнований между гласными распорядителями, получателями средств районного бюджета и между разделами, видами расходов и целевыми статьями классификации расходов.</w:t>
      </w:r>
    </w:p>
    <w:p w:rsidR="008D182D" w:rsidRPr="008D182D" w:rsidRDefault="008D182D" w:rsidP="008D182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 xml:space="preserve">  Расходная часть бюджета в течение года увеличена на 304318,6 тыс. рублей, изменение объемов финансирования в разрезе функциональной структуры приведено в таблице</w:t>
      </w:r>
    </w:p>
    <w:p w:rsidR="008D182D" w:rsidRPr="008D182D" w:rsidRDefault="008D182D" w:rsidP="008D182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D182D" w:rsidRPr="008D182D" w:rsidRDefault="008D182D" w:rsidP="008D182D">
      <w:pPr>
        <w:shd w:val="clear" w:color="auto" w:fill="FFFFFF"/>
        <w:autoSpaceDE w:val="0"/>
        <w:autoSpaceDN w:val="0"/>
        <w:adjustRightInd w:val="0"/>
        <w:spacing w:after="0" w:line="240" w:lineRule="auto"/>
        <w:ind w:firstLine="709"/>
        <w:jc w:val="right"/>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 xml:space="preserve"> (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674"/>
        <w:gridCol w:w="1758"/>
        <w:gridCol w:w="1379"/>
        <w:gridCol w:w="1551"/>
      </w:tblGrid>
      <w:tr w:rsidR="008D182D" w:rsidRPr="008D182D" w:rsidTr="00F00E89">
        <w:trPr>
          <w:trHeight w:val="350"/>
        </w:trPr>
        <w:tc>
          <w:tcPr>
            <w:tcW w:w="3322" w:type="dxa"/>
            <w:vMerge w:val="restart"/>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Наименование функциональной статьи</w:t>
            </w:r>
          </w:p>
        </w:tc>
        <w:tc>
          <w:tcPr>
            <w:tcW w:w="1684" w:type="dxa"/>
            <w:vMerge w:val="restart"/>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Решение от 23.12.2020г.№ 3-29р</w:t>
            </w:r>
          </w:p>
        </w:tc>
        <w:tc>
          <w:tcPr>
            <w:tcW w:w="1793" w:type="dxa"/>
            <w:vMerge w:val="restart"/>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Решение от 21.12.2021г. №12-108р</w:t>
            </w:r>
          </w:p>
        </w:tc>
        <w:tc>
          <w:tcPr>
            <w:tcW w:w="3033" w:type="dxa"/>
            <w:gridSpan w:val="2"/>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Отклонение</w:t>
            </w:r>
          </w:p>
        </w:tc>
      </w:tr>
      <w:tr w:rsidR="008D182D" w:rsidRPr="008D182D" w:rsidTr="00F00E89">
        <w:tc>
          <w:tcPr>
            <w:tcW w:w="3322" w:type="dxa"/>
            <w:vMerge/>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684" w:type="dxa"/>
            <w:vMerge/>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93" w:type="dxa"/>
            <w:vMerge/>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409" w:type="dxa"/>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сумма</w:t>
            </w:r>
          </w:p>
        </w:tc>
        <w:tc>
          <w:tcPr>
            <w:tcW w:w="1624" w:type="dxa"/>
            <w:shd w:val="clear" w:color="auto" w:fill="BFBFBF" w:themeFill="background1" w:themeFillShade="BF"/>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Общегосударственные вопросы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76386,6</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76189,5</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-197,4</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99,7</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оборона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1411,1</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1551,3</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140,2</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109,9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5520,7</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4929,4</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-591,3</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89,2</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экономика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81455,2</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180710,4</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99255,2</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221,9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Жилищно-коммунальное хозяйство</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15769,6</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78204,7</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62435,1</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495,9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Охрана окружающей среды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896,9</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579,4</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-317,5</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64,6</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Образование</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548590,6</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639669,1</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91078,5</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116,6</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Культура, кинематография</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120613,9</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141663,1</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21049,2</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117,5</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Социальная политика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45871,4</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43607,7</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-2263,7</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95,0</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lastRenderedPageBreak/>
              <w:t>Физическая культура и спорт</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16904,4</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25276,2</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8371,8</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149,5</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Обслуживание государственного и муниципального долга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1,6</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1,6</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Межбюджетные трансферты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130943,1</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156300,1</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25357,0</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119,4</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ИТОГО</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1044363,5</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1348682,1</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304318,6</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129,1</w:t>
            </w:r>
          </w:p>
        </w:tc>
      </w:tr>
    </w:tbl>
    <w:p w:rsidR="008D182D" w:rsidRPr="008D182D" w:rsidRDefault="008D182D" w:rsidP="008D182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182D">
        <w:rPr>
          <w:rFonts w:ascii="Times New Roman" w:eastAsia="Times New Roman" w:hAnsi="Times New Roman" w:cs="Times New Roman"/>
          <w:color w:val="000000"/>
          <w:sz w:val="24"/>
          <w:szCs w:val="24"/>
          <w:lang w:eastAsia="ru-RU"/>
        </w:rPr>
        <w:t xml:space="preserve">                                                                                                         </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Наибольший рост бюджетных назначений по сравнению с первоначально утвержденным бюджетом отмечается в сферах:</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национальной экономики на сумму 99255,2 тыс. рублей (221,9%);</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жилищно-коммунальное хозяйство на 62435,1 тыс. рублей (более чем в пять раз);</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образование на сумму 91078,5 тыс. рублей (116,6%);</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культура, кинематография в размере 21049,2 тыс. рублей (117,5%);</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физическая культура и спорт на 8371,8 тыс. рублей (149,5%);</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межбюджетные трансферты на сумму 23537,0 тыс. рублей (119,4%);</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Снижение произошло по социальной политики, национальной безопасности и правоохранительной деятельности, охране окружающей среды на 2263,7 тыс. рублей и 591,3 тыс. рублей и 317,5 тыс. рублей соответственно.</w:t>
      </w:r>
    </w:p>
    <w:p w:rsidR="008D182D" w:rsidRPr="008D182D" w:rsidRDefault="008D182D" w:rsidP="008D182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6"/>
          <w:szCs w:val="26"/>
          <w:lang w:eastAsia="ru-RU"/>
        </w:rPr>
        <w:t>Большая часть бюджетных назначений, корректируемых в течение года приходится на расходные обязательства, финансируемые в рамках муниципальных программ.</w:t>
      </w:r>
    </w:p>
    <w:p w:rsidR="008D182D" w:rsidRPr="008D182D" w:rsidRDefault="008D182D" w:rsidP="008D182D">
      <w:pPr>
        <w:keepNext/>
        <w:spacing w:after="0" w:line="240" w:lineRule="auto"/>
        <w:ind w:left="-284" w:right="-1192" w:firstLine="851"/>
        <w:jc w:val="center"/>
        <w:outlineLvl w:val="1"/>
        <w:rPr>
          <w:rFonts w:ascii="Times New Roman" w:eastAsia="Times New Roman" w:hAnsi="Times New Roman" w:cs="Times New Roman"/>
          <w:b/>
          <w:sz w:val="26"/>
          <w:szCs w:val="26"/>
          <w:lang w:eastAsia="ru-RU"/>
        </w:rPr>
      </w:pPr>
      <w:bookmarkStart w:id="0" w:name="_Toc418161993"/>
      <w:r w:rsidRPr="008D182D">
        <w:rPr>
          <w:rFonts w:ascii="Times New Roman" w:eastAsia="Times New Roman" w:hAnsi="Times New Roman" w:cs="Times New Roman"/>
          <w:b/>
          <w:sz w:val="26"/>
          <w:szCs w:val="26"/>
          <w:lang w:eastAsia="ru-RU"/>
        </w:rPr>
        <w:t xml:space="preserve">Исполнение доходной части районного бюджета в 2021 году </w:t>
      </w:r>
      <w:bookmarkEnd w:id="0"/>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2021 году в районный бюджет поступило 1278815,6 тыс. рублей, что ниже утвержденных бюджетных назначений на 37867,7 тыс. рублей или 2,8%.</w:t>
      </w:r>
    </w:p>
    <w:p w:rsidR="008D182D" w:rsidRPr="008D182D" w:rsidRDefault="008D182D" w:rsidP="008D182D">
      <w:pPr>
        <w:spacing w:after="0" w:line="240" w:lineRule="auto"/>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Данные по исполнению доходной части бюджета представлены в таблице.</w:t>
      </w: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1587"/>
        <w:gridCol w:w="1422"/>
        <w:gridCol w:w="1747"/>
        <w:gridCol w:w="1454"/>
      </w:tblGrid>
      <w:tr w:rsidR="008D182D" w:rsidRPr="008D182D" w:rsidTr="00F00E89">
        <w:tc>
          <w:tcPr>
            <w:tcW w:w="3528"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Группы доходов</w:t>
            </w:r>
          </w:p>
        </w:tc>
        <w:tc>
          <w:tcPr>
            <w:tcW w:w="1620"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Бюджет 2021г</w:t>
            </w:r>
          </w:p>
        </w:tc>
        <w:tc>
          <w:tcPr>
            <w:tcW w:w="1442"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2021г.</w:t>
            </w:r>
          </w:p>
        </w:tc>
        <w:tc>
          <w:tcPr>
            <w:tcW w:w="1781"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отклонение</w:t>
            </w:r>
          </w:p>
        </w:tc>
        <w:tc>
          <w:tcPr>
            <w:tcW w:w="1461"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выполнения</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Налоговые и неналоговые доходы</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136829,4</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139310,0</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2480,6</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101,8</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-налоговые</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115742,5</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117432,6</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1690,1</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101,5</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-неналоговые</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21086,9</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21877,4</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790,5</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103,8</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Безвозмездные поступления</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1179853,9</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1139505,6</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-40348,3</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96,5</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Безвозмездные поступления от бюджетов других уровней*</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1180343,0</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1139994,7</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-40348,3</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96,5</w:t>
            </w:r>
          </w:p>
        </w:tc>
      </w:tr>
      <w:tr w:rsidR="008D182D" w:rsidRPr="008D182D" w:rsidTr="00F00E89">
        <w:tc>
          <w:tcPr>
            <w:tcW w:w="352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Всего доходов</w:t>
            </w:r>
          </w:p>
        </w:tc>
        <w:tc>
          <w:tcPr>
            <w:tcW w:w="162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1316683,3</w:t>
            </w:r>
          </w:p>
        </w:tc>
        <w:tc>
          <w:tcPr>
            <w:tcW w:w="1442"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1278815,6</w:t>
            </w:r>
          </w:p>
        </w:tc>
        <w:tc>
          <w:tcPr>
            <w:tcW w:w="178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-37867,7</w:t>
            </w:r>
          </w:p>
        </w:tc>
        <w:tc>
          <w:tcPr>
            <w:tcW w:w="1461"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97,1</w:t>
            </w:r>
          </w:p>
        </w:tc>
      </w:tr>
    </w:tbl>
    <w:p w:rsidR="008D182D" w:rsidRPr="008D182D" w:rsidRDefault="008D182D" w:rsidP="008D182D">
      <w:pPr>
        <w:numPr>
          <w:ilvl w:val="0"/>
          <w:numId w:val="10"/>
        </w:num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без учета возврата остатков субсидий, субвенций и иных межбюджетных трансфертов, имеющих целевое назначение прошлых лет по плановым показателям 489,1 рублей, фактическое исполнение 1489,1 тыс. рублей процент исполнения 100,0% </w:t>
      </w:r>
    </w:p>
    <w:p w:rsidR="008D182D" w:rsidRPr="008D182D" w:rsidRDefault="008D182D" w:rsidP="008D182D">
      <w:pPr>
        <w:shd w:val="clear" w:color="auto" w:fill="FFFFFF"/>
        <w:spacing w:after="0" w:line="322" w:lineRule="exact"/>
        <w:ind w:left="360"/>
        <w:jc w:val="both"/>
        <w:rPr>
          <w:rFonts w:ascii="Times New Roman" w:eastAsia="Times New Roman" w:hAnsi="Times New Roman" w:cs="Times New Roman"/>
          <w:sz w:val="26"/>
          <w:szCs w:val="26"/>
        </w:rPr>
      </w:pPr>
      <w:r w:rsidRPr="008D182D">
        <w:rPr>
          <w:rFonts w:ascii="Times New Roman" w:eastAsia="Times New Roman" w:hAnsi="Times New Roman" w:cs="Times New Roman"/>
          <w:color w:val="000000"/>
          <w:spacing w:val="-1"/>
          <w:sz w:val="26"/>
          <w:szCs w:val="26"/>
        </w:rPr>
        <w:t>В ходе анализа исполнения доходной части районного бюджета</w:t>
      </w:r>
      <w:r w:rsidRPr="008D182D">
        <w:rPr>
          <w:rFonts w:ascii="Times New Roman" w:eastAsia="Times New Roman" w:hAnsi="Times New Roman" w:cs="Times New Roman"/>
          <w:color w:val="000000"/>
          <w:spacing w:val="1"/>
          <w:sz w:val="26"/>
          <w:szCs w:val="26"/>
        </w:rPr>
        <w:t xml:space="preserve"> за 2021 </w:t>
      </w:r>
      <w:r w:rsidRPr="008D182D">
        <w:rPr>
          <w:rFonts w:ascii="Times New Roman" w:eastAsia="Times New Roman" w:hAnsi="Times New Roman" w:cs="Times New Roman"/>
          <w:color w:val="000000"/>
          <w:sz w:val="26"/>
          <w:szCs w:val="26"/>
        </w:rPr>
        <w:t xml:space="preserve">год, </w:t>
      </w:r>
      <w:r w:rsidRPr="008D182D">
        <w:rPr>
          <w:rFonts w:ascii="Times New Roman" w:eastAsia="Times New Roman" w:hAnsi="Times New Roman" w:cs="Times New Roman"/>
          <w:sz w:val="26"/>
          <w:szCs w:val="26"/>
        </w:rPr>
        <w:t xml:space="preserve">установлено, что </w:t>
      </w:r>
      <w:r w:rsidRPr="008D182D">
        <w:rPr>
          <w:rFonts w:ascii="Times New Roman" w:eastAsia="Times New Roman" w:hAnsi="Times New Roman" w:cs="Times New Roman"/>
          <w:spacing w:val="2"/>
          <w:sz w:val="26"/>
          <w:szCs w:val="26"/>
        </w:rPr>
        <w:t>бюджет по доходам исполнен</w:t>
      </w:r>
      <w:r w:rsidRPr="008D182D">
        <w:rPr>
          <w:rFonts w:ascii="Times New Roman" w:eastAsia="Times New Roman" w:hAnsi="Times New Roman" w:cs="Times New Roman"/>
          <w:spacing w:val="11"/>
          <w:sz w:val="26"/>
          <w:szCs w:val="26"/>
        </w:rPr>
        <w:t xml:space="preserve"> на 97,1%. </w:t>
      </w:r>
      <w:r w:rsidRPr="008D182D">
        <w:rPr>
          <w:rFonts w:ascii="Times New Roman" w:eastAsia="Times New Roman" w:hAnsi="Times New Roman" w:cs="Times New Roman"/>
          <w:sz w:val="26"/>
          <w:szCs w:val="26"/>
        </w:rPr>
        <w:t>Объем утвержденных бюджетных назначений по доходам на 2021 год составил 1316683,3 тыс. рублей.</w:t>
      </w:r>
      <w:r w:rsidRPr="008D182D">
        <w:rPr>
          <w:rFonts w:ascii="Times New Roman" w:eastAsia="Times New Roman" w:hAnsi="Times New Roman" w:cs="Times New Roman"/>
          <w:spacing w:val="11"/>
          <w:sz w:val="26"/>
          <w:szCs w:val="26"/>
        </w:rPr>
        <w:t xml:space="preserve"> </w:t>
      </w:r>
      <w:r w:rsidRPr="008D182D">
        <w:rPr>
          <w:rFonts w:ascii="Times New Roman" w:eastAsia="Times New Roman" w:hAnsi="Times New Roman" w:cs="Times New Roman"/>
          <w:sz w:val="26"/>
          <w:szCs w:val="26"/>
        </w:rPr>
        <w:t>Поступило доходов на сумму 1278815,6</w:t>
      </w:r>
      <w:r w:rsidRPr="008D182D">
        <w:rPr>
          <w:rFonts w:ascii="Times New Roman" w:eastAsia="Times New Roman" w:hAnsi="Times New Roman" w:cs="Times New Roman"/>
          <w:spacing w:val="11"/>
          <w:sz w:val="26"/>
          <w:szCs w:val="26"/>
        </w:rPr>
        <w:t xml:space="preserve"> </w:t>
      </w:r>
      <w:r w:rsidRPr="008D182D">
        <w:rPr>
          <w:rFonts w:ascii="Times New Roman" w:eastAsia="Times New Roman" w:hAnsi="Times New Roman" w:cs="Times New Roman"/>
          <w:sz w:val="26"/>
          <w:szCs w:val="26"/>
        </w:rPr>
        <w:t>тыс. рублей, что ниже плановых назначений на 37867,7 тыс. рублей в том числе:</w:t>
      </w:r>
    </w:p>
    <w:p w:rsidR="008D182D" w:rsidRPr="008D182D" w:rsidRDefault="008D182D" w:rsidP="008D182D">
      <w:pPr>
        <w:shd w:val="clear" w:color="auto" w:fill="FFFFFF"/>
        <w:spacing w:after="0" w:line="322" w:lineRule="exact"/>
        <w:ind w:left="360"/>
        <w:jc w:val="both"/>
        <w:rPr>
          <w:rFonts w:ascii="Times New Roman" w:eastAsia="Times New Roman" w:hAnsi="Times New Roman" w:cs="Times New Roman"/>
          <w:sz w:val="26"/>
          <w:szCs w:val="26"/>
        </w:rPr>
      </w:pPr>
      <w:r w:rsidRPr="008D182D">
        <w:rPr>
          <w:rFonts w:ascii="Times New Roman" w:eastAsia="Times New Roman" w:hAnsi="Times New Roman" w:cs="Times New Roman"/>
          <w:sz w:val="26"/>
          <w:szCs w:val="26"/>
        </w:rPr>
        <w:t>- налоговые доходы- 117432,6 тыс. рублей или 101,5%;</w:t>
      </w:r>
    </w:p>
    <w:p w:rsidR="008D182D" w:rsidRPr="008D182D" w:rsidRDefault="008D182D" w:rsidP="008D182D">
      <w:pPr>
        <w:shd w:val="clear" w:color="auto" w:fill="FFFFFF"/>
        <w:spacing w:after="0" w:line="322" w:lineRule="exact"/>
        <w:ind w:left="360"/>
        <w:jc w:val="both"/>
        <w:rPr>
          <w:rFonts w:ascii="Times New Roman" w:eastAsia="Times New Roman" w:hAnsi="Times New Roman" w:cs="Times New Roman"/>
          <w:sz w:val="26"/>
          <w:szCs w:val="26"/>
        </w:rPr>
      </w:pPr>
      <w:r w:rsidRPr="008D182D">
        <w:rPr>
          <w:rFonts w:ascii="Times New Roman" w:eastAsia="Times New Roman" w:hAnsi="Times New Roman" w:cs="Times New Roman"/>
          <w:sz w:val="26"/>
          <w:szCs w:val="26"/>
        </w:rPr>
        <w:t>- неналоговые доходы -21877,4 тыс. рублей или 103,8%;</w:t>
      </w:r>
    </w:p>
    <w:p w:rsidR="008D182D" w:rsidRPr="008D182D" w:rsidRDefault="008D182D" w:rsidP="008D182D">
      <w:pPr>
        <w:shd w:val="clear" w:color="auto" w:fill="FFFFFF"/>
        <w:spacing w:after="0" w:line="322" w:lineRule="exact"/>
        <w:ind w:left="360"/>
        <w:jc w:val="both"/>
        <w:rPr>
          <w:rFonts w:ascii="Times New Roman" w:eastAsia="Times New Roman" w:hAnsi="Times New Roman" w:cs="Times New Roman"/>
          <w:sz w:val="26"/>
          <w:szCs w:val="26"/>
        </w:rPr>
      </w:pPr>
      <w:r w:rsidRPr="008D182D">
        <w:rPr>
          <w:rFonts w:ascii="Times New Roman" w:eastAsia="Times New Roman" w:hAnsi="Times New Roman" w:cs="Times New Roman"/>
          <w:sz w:val="26"/>
          <w:szCs w:val="26"/>
        </w:rPr>
        <w:t>- безвозмездные поступления 1139505,6 тыс. рублей или 96,5%.</w:t>
      </w:r>
    </w:p>
    <w:p w:rsidR="008D182D" w:rsidRPr="008D182D" w:rsidRDefault="008D182D" w:rsidP="008D182D">
      <w:pPr>
        <w:spacing w:after="0" w:line="240" w:lineRule="auto"/>
        <w:ind w:left="36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Данные по исполнению доходной части бюджета за 2021 год в сравнении с 2020 годом представлены в таблице</w:t>
      </w:r>
    </w:p>
    <w:p w:rsidR="008D182D" w:rsidRPr="008D182D" w:rsidRDefault="008D182D" w:rsidP="008D182D">
      <w:pPr>
        <w:spacing w:after="0" w:line="240" w:lineRule="auto"/>
        <w:ind w:left="360"/>
        <w:rPr>
          <w:rFonts w:ascii="Times New Roman" w:eastAsia="Times New Roman" w:hAnsi="Times New Roman" w:cs="Times New Roman"/>
          <w:sz w:val="28"/>
          <w:szCs w:val="28"/>
          <w:lang w:eastAsia="ru-RU"/>
        </w:rPr>
      </w:pPr>
    </w:p>
    <w:p w:rsidR="008D182D" w:rsidRPr="008D182D" w:rsidRDefault="008D182D" w:rsidP="008D182D">
      <w:pPr>
        <w:spacing w:after="0" w:line="240" w:lineRule="auto"/>
        <w:ind w:left="360"/>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(тыс. руб)</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254"/>
        <w:gridCol w:w="1289"/>
        <w:gridCol w:w="1239"/>
        <w:gridCol w:w="1398"/>
        <w:gridCol w:w="1449"/>
        <w:gridCol w:w="1369"/>
      </w:tblGrid>
      <w:tr w:rsidR="008D182D" w:rsidRPr="008D182D" w:rsidTr="00F00E89">
        <w:tc>
          <w:tcPr>
            <w:tcW w:w="2070"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Группа доходов</w:t>
            </w:r>
          </w:p>
        </w:tc>
        <w:tc>
          <w:tcPr>
            <w:tcW w:w="1254"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2020года</w:t>
            </w:r>
          </w:p>
        </w:tc>
        <w:tc>
          <w:tcPr>
            <w:tcW w:w="1289"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структура</w:t>
            </w:r>
          </w:p>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доходов </w:t>
            </w:r>
          </w:p>
        </w:tc>
        <w:tc>
          <w:tcPr>
            <w:tcW w:w="1239"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2021года</w:t>
            </w:r>
          </w:p>
        </w:tc>
        <w:tc>
          <w:tcPr>
            <w:tcW w:w="1398"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Структура  доходов </w:t>
            </w:r>
          </w:p>
        </w:tc>
        <w:tc>
          <w:tcPr>
            <w:tcW w:w="1449"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Отклонение</w:t>
            </w:r>
          </w:p>
        </w:tc>
        <w:tc>
          <w:tcPr>
            <w:tcW w:w="1369" w:type="dxa"/>
            <w:shd w:val="clear" w:color="auto" w:fill="BFBFBF" w:themeFill="background1" w:themeFillShade="BF"/>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Темп роста</w:t>
            </w:r>
          </w:p>
        </w:tc>
      </w:tr>
      <w:tr w:rsidR="008D182D" w:rsidRPr="008D182D" w:rsidTr="00F00E89">
        <w:tc>
          <w:tcPr>
            <w:tcW w:w="207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Налоговые и неналоговые доходы</w:t>
            </w:r>
          </w:p>
        </w:tc>
        <w:tc>
          <w:tcPr>
            <w:tcW w:w="1254"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116018,9</w:t>
            </w:r>
          </w:p>
        </w:tc>
        <w:tc>
          <w:tcPr>
            <w:tcW w:w="128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w:t>
            </w:r>
          </w:p>
        </w:tc>
        <w:tc>
          <w:tcPr>
            <w:tcW w:w="123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139310,0</w:t>
            </w:r>
          </w:p>
        </w:tc>
        <w:tc>
          <w:tcPr>
            <w:tcW w:w="139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10,8</w:t>
            </w:r>
          </w:p>
        </w:tc>
        <w:tc>
          <w:tcPr>
            <w:tcW w:w="144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2480,6</w:t>
            </w:r>
          </w:p>
        </w:tc>
        <w:tc>
          <w:tcPr>
            <w:tcW w:w="136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120,0</w:t>
            </w:r>
          </w:p>
        </w:tc>
      </w:tr>
      <w:tr w:rsidR="008D182D" w:rsidRPr="008D182D" w:rsidTr="00F00E89">
        <w:tc>
          <w:tcPr>
            <w:tcW w:w="207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-налоговые доходы</w:t>
            </w:r>
          </w:p>
        </w:tc>
        <w:tc>
          <w:tcPr>
            <w:tcW w:w="1254"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96845,7</w:t>
            </w:r>
          </w:p>
        </w:tc>
        <w:tc>
          <w:tcPr>
            <w:tcW w:w="128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8,2</w:t>
            </w:r>
          </w:p>
        </w:tc>
        <w:tc>
          <w:tcPr>
            <w:tcW w:w="123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117432,6</w:t>
            </w:r>
          </w:p>
        </w:tc>
        <w:tc>
          <w:tcPr>
            <w:tcW w:w="139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9,1</w:t>
            </w:r>
          </w:p>
        </w:tc>
        <w:tc>
          <w:tcPr>
            <w:tcW w:w="144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1690,1</w:t>
            </w:r>
          </w:p>
        </w:tc>
        <w:tc>
          <w:tcPr>
            <w:tcW w:w="136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121,2</w:t>
            </w:r>
          </w:p>
        </w:tc>
      </w:tr>
      <w:tr w:rsidR="008D182D" w:rsidRPr="008D182D" w:rsidTr="00F00E89">
        <w:tc>
          <w:tcPr>
            <w:tcW w:w="207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-неналоговые </w:t>
            </w:r>
          </w:p>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доходы</w:t>
            </w:r>
          </w:p>
        </w:tc>
        <w:tc>
          <w:tcPr>
            <w:tcW w:w="1254"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19173,2</w:t>
            </w:r>
          </w:p>
        </w:tc>
        <w:tc>
          <w:tcPr>
            <w:tcW w:w="128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w:t>
            </w:r>
          </w:p>
        </w:tc>
        <w:tc>
          <w:tcPr>
            <w:tcW w:w="123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21877,4</w:t>
            </w:r>
          </w:p>
        </w:tc>
        <w:tc>
          <w:tcPr>
            <w:tcW w:w="139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1,7</w:t>
            </w:r>
          </w:p>
        </w:tc>
        <w:tc>
          <w:tcPr>
            <w:tcW w:w="144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790,5</w:t>
            </w:r>
          </w:p>
        </w:tc>
        <w:tc>
          <w:tcPr>
            <w:tcW w:w="136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114,1</w:t>
            </w:r>
          </w:p>
        </w:tc>
      </w:tr>
      <w:tr w:rsidR="008D182D" w:rsidRPr="008D182D" w:rsidTr="00F00E89">
        <w:tc>
          <w:tcPr>
            <w:tcW w:w="207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Безвозмездные поступления</w:t>
            </w:r>
          </w:p>
        </w:tc>
        <w:tc>
          <w:tcPr>
            <w:tcW w:w="1254"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1058392,5</w:t>
            </w:r>
          </w:p>
        </w:tc>
        <w:tc>
          <w:tcPr>
            <w:tcW w:w="128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90,1</w:t>
            </w:r>
          </w:p>
        </w:tc>
        <w:tc>
          <w:tcPr>
            <w:tcW w:w="123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1139505,6</w:t>
            </w:r>
          </w:p>
        </w:tc>
        <w:tc>
          <w:tcPr>
            <w:tcW w:w="139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89,1</w:t>
            </w:r>
          </w:p>
        </w:tc>
        <w:tc>
          <w:tcPr>
            <w:tcW w:w="144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81113,1</w:t>
            </w:r>
          </w:p>
        </w:tc>
        <w:tc>
          <w:tcPr>
            <w:tcW w:w="136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107,7</w:t>
            </w:r>
          </w:p>
        </w:tc>
      </w:tr>
      <w:tr w:rsidR="008D182D" w:rsidRPr="008D182D" w:rsidTr="00F00E89">
        <w:tc>
          <w:tcPr>
            <w:tcW w:w="2070"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Всего доходов</w:t>
            </w:r>
          </w:p>
        </w:tc>
        <w:tc>
          <w:tcPr>
            <w:tcW w:w="1254"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1174411,5</w:t>
            </w:r>
          </w:p>
        </w:tc>
        <w:tc>
          <w:tcPr>
            <w:tcW w:w="128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c>
          <w:tcPr>
            <w:tcW w:w="123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1278815,6</w:t>
            </w:r>
          </w:p>
        </w:tc>
        <w:tc>
          <w:tcPr>
            <w:tcW w:w="1398"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c>
          <w:tcPr>
            <w:tcW w:w="144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104404,1</w:t>
            </w:r>
          </w:p>
        </w:tc>
        <w:tc>
          <w:tcPr>
            <w:tcW w:w="1369" w:type="dxa"/>
            <w:shd w:val="clear" w:color="auto" w:fill="auto"/>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108,9</w:t>
            </w:r>
          </w:p>
        </w:tc>
      </w:tr>
    </w:tbl>
    <w:p w:rsidR="008D182D" w:rsidRPr="008D182D" w:rsidRDefault="008D182D" w:rsidP="008D182D">
      <w:pPr>
        <w:spacing w:after="0" w:line="240" w:lineRule="auto"/>
        <w:ind w:left="360"/>
        <w:rPr>
          <w:rFonts w:ascii="Times New Roman" w:eastAsia="Times New Roman" w:hAnsi="Times New Roman" w:cs="Times New Roman"/>
          <w:lang w:eastAsia="ru-RU"/>
        </w:rPr>
      </w:pP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ходе анализа доходной части бюджета в сравнении с поступлениями доходов в 2020 году отмечается рост налоговых доходов в размере 1690,1 тыс. рублей (121,2%), неналоговых доходов в сумме 790,5 тыс. рублей (114,1%), безвозмездных поступлений в размере 81113,1 тыс. рублей (108,9%).</w:t>
      </w:r>
    </w:p>
    <w:p w:rsidR="008D182D" w:rsidRPr="008D182D" w:rsidRDefault="008D182D" w:rsidP="008D182D">
      <w:pPr>
        <w:spacing w:after="0" w:line="240" w:lineRule="auto"/>
        <w:jc w:val="both"/>
        <w:rPr>
          <w:rFonts w:ascii="Times New Roman" w:eastAsia="Times New Roman" w:hAnsi="Times New Roman" w:cs="Times New Roman"/>
          <w:sz w:val="28"/>
          <w:szCs w:val="28"/>
          <w:lang w:eastAsia="ru-RU"/>
        </w:rPr>
      </w:pPr>
      <w:r w:rsidRPr="008D182D">
        <w:rPr>
          <w:rFonts w:ascii="Times New Roman" w:eastAsia="Times New Roman" w:hAnsi="Times New Roman" w:cs="Times New Roman"/>
          <w:sz w:val="28"/>
          <w:szCs w:val="28"/>
          <w:lang w:eastAsia="ru-RU"/>
        </w:rPr>
        <w:t xml:space="preserve">     </w:t>
      </w:r>
      <w:r w:rsidRPr="008D182D">
        <w:rPr>
          <w:rFonts w:ascii="Times New Roman" w:eastAsia="Times New Roman" w:hAnsi="Times New Roman" w:cs="Times New Roman"/>
          <w:sz w:val="26"/>
          <w:szCs w:val="26"/>
          <w:lang w:eastAsia="ru-RU"/>
        </w:rPr>
        <w:t xml:space="preserve">  Структура доходов районного бюджета представлена в таблице</w:t>
      </w:r>
      <w:r w:rsidRPr="008D182D">
        <w:rPr>
          <w:rFonts w:ascii="Times New Roman" w:eastAsia="Times New Roman" w:hAnsi="Times New Roman" w:cs="Times New Roman"/>
          <w:sz w:val="28"/>
          <w:szCs w:val="28"/>
          <w:lang w:eastAsia="ru-RU"/>
        </w:rPr>
        <w:t xml:space="preserve"> .     </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Таблица 2</w:t>
      </w: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 тыс. рублей</w:t>
      </w:r>
    </w:p>
    <w:tbl>
      <w:tblPr>
        <w:tblW w:w="9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546"/>
        <w:gridCol w:w="1641"/>
        <w:gridCol w:w="1418"/>
        <w:gridCol w:w="1417"/>
        <w:gridCol w:w="1228"/>
      </w:tblGrid>
      <w:tr w:rsidR="008D182D" w:rsidRPr="008D182D" w:rsidTr="00F00E89">
        <w:trPr>
          <w:trHeight w:val="1009"/>
        </w:trPr>
        <w:tc>
          <w:tcPr>
            <w:tcW w:w="2730"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Наименование показателей</w:t>
            </w:r>
          </w:p>
        </w:tc>
        <w:tc>
          <w:tcPr>
            <w:tcW w:w="1546"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Утвержденные бюджетные назначения</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Решением</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 23.12.2020 №3-29р</w:t>
            </w:r>
          </w:p>
        </w:tc>
        <w:tc>
          <w:tcPr>
            <w:tcW w:w="1641"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Утвержденные бюджетные назначения</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Решением </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 21.12.2021</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12-108р</w:t>
            </w:r>
          </w:p>
        </w:tc>
        <w:tc>
          <w:tcPr>
            <w:tcW w:w="1418"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Уточненные бюджетные назначения</w:t>
            </w:r>
          </w:p>
        </w:tc>
        <w:tc>
          <w:tcPr>
            <w:tcW w:w="1417"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Исполнение</w:t>
            </w:r>
          </w:p>
        </w:tc>
        <w:tc>
          <w:tcPr>
            <w:tcW w:w="1228"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исполнения</w:t>
            </w: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5/4</w:t>
            </w:r>
          </w:p>
        </w:tc>
      </w:tr>
      <w:tr w:rsidR="008D182D" w:rsidRPr="008D182D" w:rsidTr="00F00E89">
        <w:trPr>
          <w:trHeight w:val="244"/>
        </w:trPr>
        <w:tc>
          <w:tcPr>
            <w:tcW w:w="2730"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w:t>
            </w:r>
          </w:p>
        </w:tc>
        <w:tc>
          <w:tcPr>
            <w:tcW w:w="1546"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w:t>
            </w:r>
          </w:p>
        </w:tc>
        <w:tc>
          <w:tcPr>
            <w:tcW w:w="1641"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w:t>
            </w:r>
          </w:p>
        </w:tc>
        <w:tc>
          <w:tcPr>
            <w:tcW w:w="1418"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p>
        </w:tc>
        <w:tc>
          <w:tcPr>
            <w:tcW w:w="1417"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w:t>
            </w:r>
          </w:p>
        </w:tc>
        <w:tc>
          <w:tcPr>
            <w:tcW w:w="1228" w:type="dxa"/>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Налоговые и неналоговые доходы</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114061,4</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136829,4</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136829,4</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139310,0</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101,8</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 на прибыль организаций</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7000,0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11621,7</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11621,7</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14857,3</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127,8</w:t>
            </w:r>
          </w:p>
        </w:tc>
      </w:tr>
      <w:tr w:rsidR="008D182D" w:rsidRPr="008D182D" w:rsidTr="00F00E89">
        <w:trPr>
          <w:trHeight w:val="47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 на доходы физических лиц</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71100,0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79046,7</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79046,7</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75948,1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96,0</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Налоги на совокупный доход-всего, в том числе</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14001,1</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22680,1</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22680,0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24187,1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106,6</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2933,0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4268,0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4268,0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4718,0</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110,5</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7443,0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10155,0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10155,0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10110,1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99,6</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Минимальный налог, зачисляемый в бюджеты субъектов Российской Федерации ( за налоговые </w:t>
            </w:r>
            <w:r w:rsidRPr="008D182D">
              <w:rPr>
                <w:rFonts w:ascii="Times New Roman" w:eastAsia="Times New Roman" w:hAnsi="Times New Roman" w:cs="Times New Roman"/>
                <w:lang w:eastAsia="ru-RU"/>
              </w:rPr>
              <w:lastRenderedPageBreak/>
              <w:t>периоды, истекшие до 1 января 2016 года)</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3,1</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3,1</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3,1</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1,4</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45,1</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Единый налог на вмененный доход для отдельных видов деятельности</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1870,0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2147,0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2147,0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2161,9</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100,7</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Единый налог на вмененный доход для отдельных видов деятельности (за налоговые периоды, истекшие до 1 января 2011 года)</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0,4</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Единый сельскохозяйственный налог</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1692.0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3607,0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3607,0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3606,5</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99,9</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2500,0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2500,0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3588,8</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143,6</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Государственная пошлина по делам, рассматриваемых в судах общей юрисдикции, мировыми судьями</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2700,0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2380,0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2380,0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2439,0</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102,5</w:t>
            </w:r>
          </w:p>
        </w:tc>
      </w:tr>
      <w:tr w:rsidR="008D182D" w:rsidRPr="008D182D" w:rsidTr="00F00E89">
        <w:trPr>
          <w:trHeight w:val="244"/>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Задолженность и перерасчеты по отмененным налогам, сборам и иным обязательным платежам</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Штрафы, санкции, возмещение ущерба</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1190,0</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1190,0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1190,0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1158,9</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97,4</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Доходы от использования имущества</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16218,8</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16688,9</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16688,9</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17387,2</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104,1</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Платежи при пользовании природными ресурсами</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465,9</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1076,9</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1076,9</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1070,4</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99,3</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Доходы от оказания платных услуг</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52,3</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417,9</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417,9</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420,4</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100,6</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Доходы от продажи материальных и нематериальных активов </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1319,5</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1713,2</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1713,2</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1818,3</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106,1</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Безвозмездные</w:t>
            </w:r>
          </w:p>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 xml:space="preserve">поступления </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928782,6</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1198006,0</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1179853,9</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1139505,6</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96,5</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Дотации на выравнивание бюджетной обеспеченности</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425255,9</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464630,1</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464630,1</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464630,1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505"/>
        </w:trPr>
        <w:tc>
          <w:tcPr>
            <w:tcW w:w="2730" w:type="dxa"/>
          </w:tcPr>
          <w:p w:rsidR="008D182D" w:rsidRPr="008D182D" w:rsidRDefault="008D182D" w:rsidP="008D182D">
            <w:pPr>
              <w:rPr>
                <w:rFonts w:ascii="Times New Roman" w:hAnsi="Times New Roman" w:cs="Times New Roman"/>
              </w:rPr>
            </w:pPr>
            <w:r w:rsidRPr="008D182D">
              <w:rPr>
                <w:rFonts w:ascii="Times New Roman" w:hAnsi="Times New Roman" w:cs="Times New Roman"/>
              </w:rPr>
              <w:t>Субсидии бюджетам бюджетной системы Российской Федерации (межбюджетные субсидии)</w:t>
            </w:r>
          </w:p>
        </w:tc>
        <w:tc>
          <w:tcPr>
            <w:tcW w:w="1546" w:type="dxa"/>
          </w:tcPr>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r w:rsidRPr="008D182D">
              <w:rPr>
                <w:rFonts w:ascii="Times New Roman" w:hAnsi="Times New Roman" w:cs="Times New Roman"/>
              </w:rPr>
              <w:t>36699,8</w:t>
            </w:r>
          </w:p>
        </w:tc>
        <w:tc>
          <w:tcPr>
            <w:tcW w:w="1641" w:type="dxa"/>
          </w:tcPr>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r w:rsidRPr="008D182D">
              <w:rPr>
                <w:rFonts w:ascii="Times New Roman" w:hAnsi="Times New Roman" w:cs="Times New Roman"/>
              </w:rPr>
              <w:t>183616,0</w:t>
            </w:r>
          </w:p>
        </w:tc>
        <w:tc>
          <w:tcPr>
            <w:tcW w:w="1418" w:type="dxa"/>
          </w:tcPr>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r w:rsidRPr="008D182D">
              <w:rPr>
                <w:rFonts w:ascii="Times New Roman" w:hAnsi="Times New Roman" w:cs="Times New Roman"/>
              </w:rPr>
              <w:t>167696,2</w:t>
            </w:r>
          </w:p>
        </w:tc>
        <w:tc>
          <w:tcPr>
            <w:tcW w:w="1417" w:type="dxa"/>
          </w:tcPr>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r w:rsidRPr="008D182D">
              <w:rPr>
                <w:rFonts w:ascii="Times New Roman" w:hAnsi="Times New Roman" w:cs="Times New Roman"/>
              </w:rPr>
              <w:t>147766,5</w:t>
            </w:r>
          </w:p>
        </w:tc>
        <w:tc>
          <w:tcPr>
            <w:tcW w:w="1228" w:type="dxa"/>
          </w:tcPr>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p>
          <w:p w:rsidR="008D182D" w:rsidRPr="008D182D" w:rsidRDefault="008D182D" w:rsidP="008D182D">
            <w:pPr>
              <w:jc w:val="right"/>
              <w:rPr>
                <w:rFonts w:ascii="Times New Roman" w:hAnsi="Times New Roman" w:cs="Times New Roman"/>
              </w:rPr>
            </w:pPr>
            <w:r w:rsidRPr="008D182D">
              <w:rPr>
                <w:rFonts w:ascii="Times New Roman" w:hAnsi="Times New Roman" w:cs="Times New Roman"/>
              </w:rPr>
              <w:t>88,1</w:t>
            </w:r>
          </w:p>
        </w:tc>
      </w:tr>
      <w:tr w:rsidR="008D182D" w:rsidRPr="008D182D" w:rsidTr="00F00E89">
        <w:trPr>
          <w:trHeight w:val="1254"/>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Субвенции бюджетам субъектов Российской Федерации и муниципальных образований</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386786,8</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411571,4</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411571,4</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395942,1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96,2</w:t>
            </w:r>
          </w:p>
        </w:tc>
      </w:tr>
      <w:tr w:rsidR="008D182D" w:rsidRPr="008D182D" w:rsidTr="00F00E89">
        <w:trPr>
          <w:trHeight w:val="700"/>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Иные межбюджетные трансферты</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80040,1</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134387,6</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132155,3</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131247,5</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99,3</w:t>
            </w:r>
          </w:p>
        </w:tc>
      </w:tr>
      <w:tr w:rsidR="008D182D" w:rsidRPr="008D182D" w:rsidTr="00F00E89">
        <w:trPr>
          <w:trHeight w:val="1270"/>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Прочие безвозмездные поступления от негосударственных организаций в бюджеты муниципальных районов</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3917,0</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w:t>
            </w:r>
          </w:p>
        </w:tc>
      </w:tr>
      <w:tr w:rsidR="008D182D" w:rsidRPr="008D182D" w:rsidTr="00F00E89">
        <w:trPr>
          <w:trHeight w:val="1270"/>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Доходы бюджетов муниципальных районов от возврата автономными учреждениями остатков субсидий прошлых лет</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370,2</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405,7</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109,6</w:t>
            </w:r>
          </w:p>
        </w:tc>
      </w:tr>
      <w:tr w:rsidR="008D182D" w:rsidRPr="008D182D" w:rsidTr="00F00E89">
        <w:trPr>
          <w:trHeight w:val="1270"/>
        </w:trPr>
        <w:tc>
          <w:tcPr>
            <w:tcW w:w="2730" w:type="dxa"/>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p>
        </w:tc>
        <w:tc>
          <w:tcPr>
            <w:tcW w:w="1418"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2,8</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2,8</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505"/>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Возврат остатков субсидий, субвенций и ИМБТ</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-489,1</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p>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-489,1</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-489,1</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100,0</w:t>
            </w:r>
          </w:p>
        </w:tc>
      </w:tr>
      <w:tr w:rsidR="008D182D" w:rsidRPr="008D182D" w:rsidTr="00F00E89">
        <w:trPr>
          <w:trHeight w:val="244"/>
        </w:trPr>
        <w:tc>
          <w:tcPr>
            <w:tcW w:w="2730" w:type="dxa"/>
          </w:tcPr>
          <w:p w:rsidR="008D182D" w:rsidRPr="008D182D" w:rsidRDefault="008D182D" w:rsidP="008D182D">
            <w:pPr>
              <w:spacing w:after="0" w:line="240" w:lineRule="auto"/>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Итого</w:t>
            </w:r>
          </w:p>
        </w:tc>
        <w:tc>
          <w:tcPr>
            <w:tcW w:w="1546"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1042844,2</w:t>
            </w:r>
          </w:p>
        </w:tc>
        <w:tc>
          <w:tcPr>
            <w:tcW w:w="1641"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1334835,4</w:t>
            </w:r>
          </w:p>
        </w:tc>
        <w:tc>
          <w:tcPr>
            <w:tcW w:w="1418" w:type="dxa"/>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1316683,3</w:t>
            </w:r>
          </w:p>
        </w:tc>
        <w:tc>
          <w:tcPr>
            <w:tcW w:w="1417"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1278815,6</w:t>
            </w:r>
          </w:p>
        </w:tc>
        <w:tc>
          <w:tcPr>
            <w:tcW w:w="1228" w:type="dxa"/>
            <w:vAlign w:val="bottom"/>
          </w:tcPr>
          <w:p w:rsidR="008D182D" w:rsidRPr="008D182D" w:rsidRDefault="008D182D" w:rsidP="008D182D">
            <w:pPr>
              <w:spacing w:after="0" w:line="240" w:lineRule="auto"/>
              <w:jc w:val="right"/>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97,1</w:t>
            </w:r>
          </w:p>
        </w:tc>
      </w:tr>
    </w:tbl>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Уточненные бюджетные назначения по доходам в отчете за 2021 год меньше утвержденных бюджетных назначений согласно Решению сессии от 21.12.2021г № 12-108р на сумму 18152,1 тыс. рублей. Отклонение связано с изменениями межбюджетных трансфертов согласно уведомлений Министерства культуры и Министерства образования.  </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структуре поступлений доля налоговых и неналоговых поступлений составила 10,9 %( в 2020 году -9,8%), доля безвозмездных поступлений составила 89,1%( в 2020 году -90,2%).</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Основным источником доходов в структуре налоговых поступлений, как и предыдущие годы является налог на доходы физических лиц, который составляет 64,7%.</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 сравнению с 2020 годом фактическое поступление налоговых доходов в районный бюджет увеличилось на 20601,0 тыс. рублей.</w:t>
      </w:r>
    </w:p>
    <w:p w:rsidR="008D182D" w:rsidRPr="008D182D" w:rsidRDefault="008D182D" w:rsidP="008D182D">
      <w:pPr>
        <w:spacing w:after="0" w:line="240" w:lineRule="auto"/>
        <w:ind w:left="360"/>
        <w:rPr>
          <w:rFonts w:ascii="Times New Roman" w:eastAsia="Times New Roman" w:hAnsi="Times New Roman" w:cs="Times New Roman"/>
          <w:sz w:val="28"/>
          <w:szCs w:val="28"/>
          <w:lang w:eastAsia="ru-RU"/>
        </w:rPr>
      </w:pPr>
      <w:r w:rsidRPr="008D182D">
        <w:rPr>
          <w:rFonts w:ascii="Times New Roman" w:eastAsia="Times New Roman" w:hAnsi="Times New Roman" w:cs="Times New Roman"/>
          <w:noProof/>
          <w:sz w:val="26"/>
          <w:szCs w:val="26"/>
          <w:lang w:eastAsia="ru-RU"/>
        </w:rPr>
        <w:lastRenderedPageBreak/>
        <w:drawing>
          <wp:inline distT="0" distB="0" distL="0" distR="0" wp14:anchorId="7766919E" wp14:editId="34ED4F1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D182D" w:rsidRPr="008D182D" w:rsidRDefault="008D182D" w:rsidP="008D182D">
      <w:pPr>
        <w:spacing w:after="0" w:line="240" w:lineRule="auto"/>
        <w:ind w:firstLine="540"/>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2</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8"/>
          <w:szCs w:val="28"/>
          <w:lang w:eastAsia="ru-RU"/>
        </w:rPr>
        <w:t xml:space="preserve"> </w:t>
      </w:r>
      <w:r w:rsidRPr="008D182D">
        <w:rPr>
          <w:rFonts w:ascii="Times New Roman" w:eastAsia="Times New Roman" w:hAnsi="Times New Roman" w:cs="Times New Roman"/>
          <w:sz w:val="26"/>
          <w:szCs w:val="26"/>
          <w:lang w:eastAsia="ru-RU"/>
        </w:rPr>
        <w:t xml:space="preserve">В структуре налоговых поступлений районного бюджета по сравнению с предыдущим периодом существенно увеличилась доля налога на прибыль (12,65). </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Перевыполнение бюджетных назначений  по налоговым доходам районного бюджета составило  1690,1тыс. рублей, что составляет  1,5 % от уточненных плановых назначений.</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Исполнение бюджетных назначений по основным налоговым доходам по итогам 2021 года сложилось следующим образом:</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Бюджетные назначения по налогу на прибыль организаций исполнены в размере 14857,3 тыс. рублей (127,8%), что выше показателя предыдущего года на 3235,6 тыс. рублей.</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Основной причиной дополнительного поступления налога является увеличение объемов добычи угля ООО «Сибуголь» разрез «Балахтинский», поступление налога на прибыль от АО «Санаторий Красноярское Загорье».</w:t>
      </w:r>
    </w:p>
    <w:p w:rsidR="008D182D" w:rsidRPr="008D182D" w:rsidRDefault="008D182D" w:rsidP="008D182D">
      <w:pPr>
        <w:shd w:val="clear" w:color="auto" w:fill="FFFFFF"/>
        <w:autoSpaceDE w:val="0"/>
        <w:autoSpaceDN w:val="0"/>
        <w:adjustRightInd w:val="0"/>
        <w:spacing w:after="0" w:line="240" w:lineRule="atLeast"/>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Бюджетные назначения по налогу на доходы физических лиц исполнены в 2021 году в размере 75948,1 тыс. рублей, что ниже показателя предыдущего года на 3098,6 тыс. рублей.</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Недовыполнение плана 2021 года составило 3098,6 тыс. рублей. Причины невыполнения плановых назначений по налогу на доходы физических лиц не нашли отражения в текстовой части пояснительной записки.</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Бюджетные назначения по налогам на совокупный доход исполнены в размере 24187,1 тыс. рублей, что выше показателя предыдущего года на 10177,0 тыс. рублей.</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Перевыполнение плановых показателей 2021 года составило 1507,0 тыс. рублей (106,6%).</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Исполнение бюджетных назначений по неналоговым доходам составило 20718,5 тыс. рублей, что выше показателя исполнения предыдущего года на 1545,3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Поступление доходов в виде арендной платы за земельные участки в государственной и муниципальной собственности в 2021 году составило 14698,0 тыс. рублей, что выше утвержденных бюджетных назначений на 319,6 тыс. рублей и выше показателя предыдущего года на 1415,9 тыс. рублей.</w:t>
      </w:r>
    </w:p>
    <w:p w:rsidR="008D182D" w:rsidRPr="008D182D" w:rsidRDefault="008D182D" w:rsidP="008D182D">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hAnsi="Times New Roman" w:cs="Times New Roman"/>
          <w:sz w:val="26"/>
          <w:szCs w:val="26"/>
        </w:rPr>
        <w:t xml:space="preserve">  По данным главного администратора доходов дебиторская задолженность по состоянию на 01.01.2022 года </w:t>
      </w:r>
      <w:r w:rsidRPr="008D182D">
        <w:rPr>
          <w:rFonts w:ascii="Times New Roman" w:eastAsia="Times New Roman" w:hAnsi="Times New Roman" w:cs="Times New Roman"/>
          <w:sz w:val="26"/>
          <w:szCs w:val="26"/>
          <w:lang w:eastAsia="ru-RU"/>
        </w:rPr>
        <w:t xml:space="preserve">составляет 10334850,36 рублей, в том числе по </w:t>
      </w:r>
      <w:r w:rsidRPr="008D182D">
        <w:rPr>
          <w:rFonts w:ascii="Times New Roman" w:eastAsia="Times New Roman" w:hAnsi="Times New Roman" w:cs="Times New Roman"/>
          <w:sz w:val="26"/>
          <w:szCs w:val="26"/>
          <w:lang w:eastAsia="ru-RU"/>
        </w:rPr>
        <w:lastRenderedPageBreak/>
        <w:t>арендному землепользованию- 8167970,0 рублей, что составляет 54,7% к начисленной сумме арендной платы. По состоянию на 01.01.21г. задолженность составляла 7204295,96 рублей, отмечается рост задолженности на 963674,44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 xml:space="preserve">  Поступление доходов от сдачи имущества в аренду составило 2195,4 тыс. рублей, что выше плановых назначений на 345,4 тыс. рублей и выше показателей предыдущего года на 292,2 тыс.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Поступление прочих поступлений от использования имущества составило 493,8 тыс. рублей, что выше плановых назначений 33,3 тыс. рублей и ниже показателей предыдущего года на 398,5 тыс.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Поступление от продажи материальных и нематериальных активов составило 1818,3 тыс. рублей, что выше плановых назначений на 105,1 тыс. рублей и выше показателей предыдущего года на 937,0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В 2021 году по подгруппе доходов «Доходы от оказания платных услуг и компенсации затрат государства» поступило 420,4 тыс. рублей, что ниже утвержденных бюджетных назначений на 590,0 тыс. рублей. </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2021 году платежей при пользовании природными ресурсами поступило 1070,4 тыс. рублей, что ниже утвержденных бюджетных назначений на 6,5 тыс. рублей и выше показателя исполнения за 2020 год на сумму 568,4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 подгруппе доходов «Штрафы, санкции, возмещение ущерба» поступило 1158,9 тыс. рублей, что ниже утвержденных бюджетных назначений на 31,1 тыс. рублей и выше показателя исполнения 2020 года на 201,0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Объем безвозмездных поступлений в районный бюджет в 2021 году составил 1139505,6 тыс. рублей, что на 40348,3 тыс. рублей меньше утвержденных бюджетных назначений и выше показателей предыдущего года на 81113,0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8"/>
          <w:szCs w:val="28"/>
          <w:lang w:eastAsia="ru-RU"/>
        </w:rPr>
      </w:pPr>
    </w:p>
    <w:p w:rsidR="008D182D" w:rsidRPr="008D182D" w:rsidRDefault="008D182D" w:rsidP="008D182D">
      <w:pPr>
        <w:spacing w:after="0" w:line="240" w:lineRule="auto"/>
        <w:ind w:firstLine="540"/>
        <w:jc w:val="both"/>
        <w:rPr>
          <w:rFonts w:ascii="Times New Roman" w:eastAsia="Times New Roman" w:hAnsi="Times New Roman" w:cs="Times New Roman"/>
          <w:sz w:val="28"/>
          <w:szCs w:val="28"/>
          <w:lang w:eastAsia="ru-RU"/>
        </w:rPr>
      </w:pPr>
      <w:r w:rsidRPr="008D182D">
        <w:rPr>
          <w:rFonts w:ascii="Times New Roman" w:eastAsia="Times New Roman" w:hAnsi="Times New Roman" w:cs="Times New Roman"/>
          <w:noProof/>
          <w:sz w:val="28"/>
          <w:szCs w:val="28"/>
          <w:lang w:eastAsia="ru-RU"/>
        </w:rPr>
        <w:drawing>
          <wp:inline distT="0" distB="0" distL="0" distR="0" wp14:anchorId="0EFEEB9D" wp14:editId="64A18E7F">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структуре безвозмездных поступлений отчетного периода основную долю составляют дотации 464630,1 тыс. рублей (40,8%), субсидии составляют 147766,5 тыс. рублей (12,9%), субвенции составляют 395942,1 тыс. рублей (34,7%) иные межбюджетные трансферты-131247,5 тыс. рублей (11,5%).</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Поступление дотаций в районный бюджет составило 464630,1 тыс. рублей или 100,0% от плановых назначений и выше показателей предыдущего года 46793,3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lastRenderedPageBreak/>
        <w:t>Поступление субсидии составило 147466,5 тыс. рублей или 88,1% от плановых назначений и ниже показателя предыдущего года на 67992,6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Неисполнение бюджетных назначений сложилось:</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по субсидии на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городов-5,1 тыс. рублей за счет экономии по результатам конкурсных процедур;</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по субсидии на организацию бесплатного горячего питания обучающихся, начальное общее образование государственных и муниципальных образовательных организациях -624,7 тыс. рублей по причине отсутствия потребности;</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по субсидии на организацию туристско-рекреационных зон на территории Красноярского края в рамках подпрограммы «Развитие внутреннего и въездного туризма» государственной программы Красноярского края «Развитие культуры и туризма» -17000,0 тыс. рублей за счет не состоявшихся конкурсных процедур;</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по субсидии на реализацию мероприятий, направленных на реализацию мероприятий по поддержке местных инициатив, в рамках подпрограммы «Поддержка местных инициатив, государственнной программы Красноярского края «Содействие развитию местного самоуправления»-217,2 тыс. рублей за счет экономии по результатам конкурсных процедур;</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самоуправления"-2082,7 тыс. рублей за счет экономии по результатам конкурсных процедур.</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Поступление субвенции составило 395942,1 тыс. рублей или 96,2%, что ниже плановых назначений на 15629,3 тыс. рублей и выше показателей предыдущего года на 35992,7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основном неисполнение плановых бюджетных назначений сложилось:</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субвенция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 сирот и детей, оставшихся без попечения родителей, и достигли возраста 23 лет -9798,6 тыс. рублей; </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субвенция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владельцев-269,7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субвенция на реализацию отдельных мер по обеспечению ограничения платы граждан за коммунальные услуги-3945,9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-субвенция по организации и обеспечению отдыха и оздоровления детей -1011,6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субвенция по предоставлению компенсации родителям детей, посещающих образовательные организации -314,3 тыс. рублей.</w:t>
      </w:r>
    </w:p>
    <w:p w:rsidR="008D182D" w:rsidRPr="008D182D" w:rsidRDefault="008D182D" w:rsidP="008D182D">
      <w:pPr>
        <w:spacing w:after="0" w:line="240" w:lineRule="auto"/>
        <w:ind w:firstLine="54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Иные межбюджетные трансферты поступили в районный бюджет в размере 131247,5 тыс. рублей или 99,3%, что ниже плановых назначений на 907,8 тыс. рублей и выше показателя предыдущего года на 65323,5 тыс. рублей. В текстовой части пояснительной записки не отражены причины неисполнения плановых назначений.  </w:t>
      </w:r>
    </w:p>
    <w:p w:rsidR="008D182D" w:rsidRPr="008D182D" w:rsidRDefault="008D182D" w:rsidP="008D182D">
      <w:pPr>
        <w:keepNext/>
        <w:spacing w:after="0" w:line="240" w:lineRule="auto"/>
        <w:ind w:left="-567" w:right="-766" w:firstLine="1134"/>
        <w:jc w:val="center"/>
        <w:outlineLvl w:val="0"/>
        <w:rPr>
          <w:rFonts w:ascii="Times New Roman" w:eastAsia="Times New Roman" w:hAnsi="Times New Roman" w:cs="Times New Roman"/>
          <w:b/>
          <w:sz w:val="26"/>
          <w:szCs w:val="26"/>
          <w:lang w:eastAsia="ru-RU"/>
        </w:rPr>
      </w:pPr>
      <w:bookmarkStart w:id="1" w:name="_Toc418160557"/>
      <w:bookmarkStart w:id="2" w:name="_Toc418161359"/>
      <w:bookmarkStart w:id="3" w:name="_Toc418162004"/>
      <w:r w:rsidRPr="008D182D">
        <w:rPr>
          <w:rFonts w:ascii="Times New Roman" w:eastAsia="Times New Roman" w:hAnsi="Times New Roman" w:cs="Times New Roman"/>
          <w:b/>
          <w:sz w:val="26"/>
          <w:szCs w:val="26"/>
          <w:lang w:eastAsia="ru-RU"/>
        </w:rPr>
        <w:lastRenderedPageBreak/>
        <w:t xml:space="preserve">Анализ </w:t>
      </w:r>
      <w:bookmarkEnd w:id="1"/>
      <w:bookmarkEnd w:id="2"/>
      <w:bookmarkEnd w:id="3"/>
      <w:r w:rsidRPr="008D182D">
        <w:rPr>
          <w:rFonts w:ascii="Times New Roman" w:eastAsia="Times New Roman" w:hAnsi="Times New Roman" w:cs="Times New Roman"/>
          <w:b/>
          <w:sz w:val="26"/>
          <w:szCs w:val="26"/>
          <w:lang w:eastAsia="ru-RU"/>
        </w:rPr>
        <w:t>исполнения расходной части районного бюджета</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Бюджетной росписью на 2021 год утверждены расходы в размере 1330529,9 тыс. рублей, исполнение составило 1287567,1 тыс. рублей 96,8%).</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По сравнению с 2020 годом расходы бюджета увеличились на 113757,9 тыс. рублей или на 9,7%. Исполнение расходов по функциональной структуре за последние три года представлены в таблице:</w:t>
      </w:r>
    </w:p>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261"/>
        <w:gridCol w:w="711"/>
        <w:gridCol w:w="1151"/>
        <w:gridCol w:w="821"/>
        <w:gridCol w:w="1151"/>
        <w:gridCol w:w="821"/>
        <w:gridCol w:w="1041"/>
        <w:gridCol w:w="711"/>
      </w:tblGrid>
      <w:tr w:rsidR="008D182D" w:rsidRPr="008D182D" w:rsidTr="00F00E89">
        <w:tc>
          <w:tcPr>
            <w:tcW w:w="2358"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Наименование</w:t>
            </w:r>
          </w:p>
        </w:tc>
        <w:tc>
          <w:tcPr>
            <w:tcW w:w="104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2019г.</w:t>
            </w:r>
          </w:p>
        </w:tc>
        <w:tc>
          <w:tcPr>
            <w:tcW w:w="71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Доля</w:t>
            </w:r>
          </w:p>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w:t>
            </w:r>
          </w:p>
        </w:tc>
        <w:tc>
          <w:tcPr>
            <w:tcW w:w="115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w:t>
            </w:r>
          </w:p>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2020г.</w:t>
            </w:r>
          </w:p>
        </w:tc>
        <w:tc>
          <w:tcPr>
            <w:tcW w:w="71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Доля </w:t>
            </w:r>
          </w:p>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w:t>
            </w:r>
          </w:p>
        </w:tc>
        <w:tc>
          <w:tcPr>
            <w:tcW w:w="115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2021г.</w:t>
            </w:r>
          </w:p>
        </w:tc>
        <w:tc>
          <w:tcPr>
            <w:tcW w:w="821"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Доля</w:t>
            </w:r>
          </w:p>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w:t>
            </w:r>
          </w:p>
        </w:tc>
        <w:tc>
          <w:tcPr>
            <w:tcW w:w="1974" w:type="dxa"/>
            <w:gridSpan w:val="2"/>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отклонение</w:t>
            </w:r>
          </w:p>
        </w:tc>
      </w:tr>
      <w:tr w:rsidR="008D182D" w:rsidRPr="008D182D" w:rsidTr="00F00E89">
        <w:tc>
          <w:tcPr>
            <w:tcW w:w="2358"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04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71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15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71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15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82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974" w:type="dxa"/>
            <w:gridSpan w:val="2"/>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2021/2020</w:t>
            </w:r>
          </w:p>
        </w:tc>
      </w:tr>
      <w:tr w:rsidR="008D182D" w:rsidRPr="008D182D" w:rsidTr="00F00E89">
        <w:tc>
          <w:tcPr>
            <w:tcW w:w="2358"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04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71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15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71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15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821"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p>
        </w:tc>
        <w:tc>
          <w:tcPr>
            <w:tcW w:w="1123" w:type="dxa"/>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В сумме </w:t>
            </w:r>
          </w:p>
        </w:tc>
        <w:tc>
          <w:tcPr>
            <w:tcW w:w="851" w:type="dxa"/>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Общегосударственные вопросы</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61210,5</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5,72</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79010,6</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6,7</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73842,2</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5,7</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-5168,4</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93,4</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Национальная оборона</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1332,6</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0,12</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1567,3</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0,13</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1551,3</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0,12</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-16,0</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98,9</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Национальная безопасность и правоохранительная деятельность</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3915,3</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0,37</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4326,4</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0,37</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4857,7</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0,37</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531,3</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112,3</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Национальная экономика</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78000,3</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7,29</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95221,9</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8,1</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159637,7</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12,3</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64415,8</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167,6</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Жилищно-коммунальное хозяйство</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32173,5</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3,00</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112991,4</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74247,7</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5,7</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38743,7</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65,7</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Охрана окружающей среды</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1369,9</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0,12</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713,4</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0,06</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242,6</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0,01</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-470,8</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34,0</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Образование</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552310,7</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51,6</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569521,6</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48,5</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633771,9</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49,2</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64250,3</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111,3</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Культура и кинематография</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121720,8</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11,38</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135554,5</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11,5</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127036,3</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9,8</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-8518,2</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93,7</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Социальная политика</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93294,0</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8,72</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29931,6</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2,5</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31018,9</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2,4</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1087,3</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103,6</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Физическая культура и спорт</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19058,0</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1,78</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22841,4</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1,9</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25276,2</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1,9</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2434,8</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110,7</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Обслуживание государственного и муниципального долга</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39,2</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0,004</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5,2</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0,0004</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1,6</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0,0001</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-3,6</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30,8</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Межбюджетные трансферты общего характера бюджетам бюджетной системы РФ</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105026,6</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9,82</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122123,9</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10,4</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156082,9</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12,1</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33959,0</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127,8</w:t>
            </w:r>
          </w:p>
        </w:tc>
      </w:tr>
      <w:tr w:rsidR="008D182D" w:rsidRPr="008D182D" w:rsidTr="00F00E89">
        <w:tc>
          <w:tcPr>
            <w:tcW w:w="2358"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bCs/>
                <w:i/>
                <w:lang w:eastAsia="ru-RU"/>
              </w:rPr>
              <w:t>Всего</w:t>
            </w:r>
          </w:p>
        </w:tc>
        <w:tc>
          <w:tcPr>
            <w:tcW w:w="104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1069478,40</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100,0</w:t>
            </w:r>
          </w:p>
        </w:tc>
        <w:tc>
          <w:tcPr>
            <w:tcW w:w="11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1173809,2</w:t>
            </w:r>
          </w:p>
        </w:tc>
        <w:tc>
          <w:tcPr>
            <w:tcW w:w="71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100,0</w:t>
            </w:r>
          </w:p>
        </w:tc>
        <w:tc>
          <w:tcPr>
            <w:tcW w:w="115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1287567,1</w:t>
            </w:r>
          </w:p>
        </w:tc>
        <w:tc>
          <w:tcPr>
            <w:tcW w:w="821" w:type="dxa"/>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100,0</w:t>
            </w:r>
          </w:p>
        </w:tc>
        <w:tc>
          <w:tcPr>
            <w:tcW w:w="112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113757,9</w:t>
            </w:r>
          </w:p>
        </w:tc>
        <w:tc>
          <w:tcPr>
            <w:tcW w:w="851"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b/>
                <w:lang w:eastAsia="ru-RU"/>
              </w:rPr>
            </w:pPr>
            <w:r w:rsidRPr="008D182D">
              <w:rPr>
                <w:rFonts w:ascii="Times New Roman" w:eastAsia="Times New Roman" w:hAnsi="Times New Roman" w:cs="Times New Roman"/>
                <w:b/>
                <w:lang w:eastAsia="ru-RU"/>
              </w:rPr>
              <w:t>109,7</w:t>
            </w:r>
          </w:p>
        </w:tc>
      </w:tr>
    </w:tbl>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b/>
          <w:sz w:val="24"/>
          <w:szCs w:val="24"/>
          <w:lang w:eastAsia="ru-RU"/>
        </w:rPr>
      </w:pP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Анализируя таблицу можно сделать вывод, что в 2021 году наибольший удельный вес в структуре расходов составляет образование 49,2 %.</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2021 году по сравнению с 2020 годом уменьшился объем расходов по разделам:</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-«общегосударственные расходы» на сумму 5168,4 тыс. рублей (6,6%);</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«охрана окружающей среды» на сумму 470,8 тыс. рублей (34,0%) ;</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«культура и кинематография» на сумму 8518,2 тыс. рублей.</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 сравнению с 2020 годом увеличен объем расходов по разделам:</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 «национальная экономика» на сумму 64415,8 тыс. рублей (67,6%);</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«национальная безопасность и правоохранительная деятельность» на 531,3 тыс.       рублей (12,3%);</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lastRenderedPageBreak/>
        <w:t>-«жилищно-коммунальное хозяйство» на сумму 38743,7 тыс. рублей (34,2%);</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«образование» на сумму 64250,3 тыс. рублей (11,1%); </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8"/>
          <w:szCs w:val="28"/>
          <w:lang w:eastAsia="ru-RU"/>
        </w:rPr>
      </w:pPr>
      <w:r w:rsidRPr="008D182D">
        <w:rPr>
          <w:rFonts w:ascii="Times New Roman" w:eastAsia="Times New Roman" w:hAnsi="Times New Roman" w:cs="Times New Roman"/>
          <w:sz w:val="26"/>
          <w:szCs w:val="26"/>
          <w:lang w:eastAsia="ru-RU"/>
        </w:rPr>
        <w:t>- «социальная политика» на сумму 1087,3 тыс. рублей (3,6%)</w:t>
      </w:r>
      <w:r w:rsidRPr="008D182D">
        <w:rPr>
          <w:rFonts w:ascii="Times New Roman" w:eastAsia="Times New Roman" w:hAnsi="Times New Roman" w:cs="Times New Roman"/>
          <w:sz w:val="28"/>
          <w:szCs w:val="28"/>
          <w:lang w:eastAsia="ru-RU"/>
        </w:rPr>
        <w:t xml:space="preserve"> ; </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«физическая культура и спорт» на сумму 2434,8 тыс. рублей (10,7%);</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«межбюджетные трансферты» на сумму 33959,0 тыс. рублей (27,8%).</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На финансирование социально-культурной сферы в 2021 году приходится-63,5%, 2020 году 64,4%, в 2018 году-71,7%.</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Исполнение бюджета в разрезе функциональной структуры за отчетный период приведено в таблице</w:t>
      </w:r>
    </w:p>
    <w:p w:rsidR="008D182D" w:rsidRPr="008D182D" w:rsidRDefault="008D182D" w:rsidP="008D182D">
      <w:pPr>
        <w:shd w:val="clear" w:color="auto" w:fill="FFFFFF"/>
        <w:autoSpaceDE w:val="0"/>
        <w:autoSpaceDN w:val="0"/>
        <w:adjustRightInd w:val="0"/>
        <w:spacing w:after="0" w:line="240" w:lineRule="auto"/>
        <w:ind w:firstLine="709"/>
        <w:jc w:val="right"/>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665"/>
        <w:gridCol w:w="1749"/>
        <w:gridCol w:w="1376"/>
        <w:gridCol w:w="1561"/>
      </w:tblGrid>
      <w:tr w:rsidR="008D182D" w:rsidRPr="008D182D" w:rsidTr="00F00E89">
        <w:trPr>
          <w:trHeight w:val="350"/>
        </w:trPr>
        <w:tc>
          <w:tcPr>
            <w:tcW w:w="3322"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Наименование функциональной статьи</w:t>
            </w:r>
          </w:p>
        </w:tc>
        <w:tc>
          <w:tcPr>
            <w:tcW w:w="1684"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Уточненный План 2021</w:t>
            </w:r>
          </w:p>
        </w:tc>
        <w:tc>
          <w:tcPr>
            <w:tcW w:w="1793" w:type="dxa"/>
            <w:vMerge w:val="restart"/>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Факт</w:t>
            </w:r>
          </w:p>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2021</w:t>
            </w:r>
          </w:p>
        </w:tc>
        <w:tc>
          <w:tcPr>
            <w:tcW w:w="3033" w:type="dxa"/>
            <w:gridSpan w:val="2"/>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Выполнение</w:t>
            </w:r>
          </w:p>
        </w:tc>
      </w:tr>
      <w:tr w:rsidR="008D182D" w:rsidRPr="008D182D" w:rsidTr="00F00E89">
        <w:tc>
          <w:tcPr>
            <w:tcW w:w="3322"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684"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793" w:type="dxa"/>
            <w:vMerge/>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409" w:type="dxa"/>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сумма</w:t>
            </w:r>
          </w:p>
        </w:tc>
        <w:tc>
          <w:tcPr>
            <w:tcW w:w="1624" w:type="dxa"/>
            <w:shd w:val="clear" w:color="auto" w:fill="D9D9D9" w:themeFill="background1" w:themeFillShade="D9"/>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Общегосударственные вопросы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76189,5</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73842,2</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-2347,3</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96,9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оборона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1551,3</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1551,3</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100,0</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4929,4</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4857,7</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-71,7</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98,5</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Национальная экономика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180710,0</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159637,7</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-21072,3</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88,3</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Жилищно-коммунальное хозяйство</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78204,7</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74247,7</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-3957,0</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94,9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Охрана окружающей среды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579,4</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242,6</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-336,8</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41,8</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Образование</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637441,9</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633771,9</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-3670,0</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99,4</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Культура, кинематография</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127248,7</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127036,3</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-212,4</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99,8</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Социальная политика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42097,1</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31018,9</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-11078,2</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73,6</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Физическая культура и спорт</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25276,2</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25276,2</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100,0</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Обслуживание государственного и муниципального долга</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1,6</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1,6</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100,0</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Межбюджетные трансферты</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156300,1</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156082,9</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-217,2</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99,9</w:t>
            </w:r>
          </w:p>
        </w:tc>
      </w:tr>
      <w:tr w:rsidR="008D182D" w:rsidRPr="008D182D" w:rsidTr="00F00E89">
        <w:tc>
          <w:tcPr>
            <w:tcW w:w="3322"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ИТОГО</w:t>
            </w:r>
          </w:p>
        </w:tc>
        <w:tc>
          <w:tcPr>
            <w:tcW w:w="168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1330529,9</w:t>
            </w:r>
          </w:p>
        </w:tc>
        <w:tc>
          <w:tcPr>
            <w:tcW w:w="1793"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1287567,1</w:t>
            </w:r>
          </w:p>
        </w:tc>
        <w:tc>
          <w:tcPr>
            <w:tcW w:w="1409"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-42962,8</w:t>
            </w:r>
          </w:p>
        </w:tc>
        <w:tc>
          <w:tcPr>
            <w:tcW w:w="1624" w:type="dxa"/>
            <w:shd w:val="clear" w:color="auto" w:fill="auto"/>
          </w:tcPr>
          <w:p w:rsidR="008D182D" w:rsidRPr="008D182D" w:rsidRDefault="008D182D" w:rsidP="008D182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D182D">
              <w:rPr>
                <w:rFonts w:ascii="Times New Roman" w:eastAsia="Times New Roman" w:hAnsi="Times New Roman" w:cs="Times New Roman"/>
                <w:color w:val="000000"/>
                <w:lang w:eastAsia="ru-RU"/>
              </w:rPr>
              <w:t>96,7</w:t>
            </w:r>
          </w:p>
        </w:tc>
      </w:tr>
    </w:tbl>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lang w:eastAsia="ru-RU"/>
        </w:rPr>
      </w:pP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денежном выражении наибольшие отклонения фактического исполнения от плановых назначений отмечаются по следующим направлениям:</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общегосударственные вопросы -2347,3 тыс. рублей;</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образование -3670,0 тыс. рублей;</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национальная экономика– 21072,3 тыс. рублей:</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-жилищно-коммунальное хозяйство -3957,0 тыс. рублей:</w:t>
      </w:r>
    </w:p>
    <w:p w:rsidR="008D182D" w:rsidRPr="008D182D" w:rsidRDefault="008D182D" w:rsidP="008D182D">
      <w:pPr>
        <w:autoSpaceDE w:val="0"/>
        <w:autoSpaceDN w:val="0"/>
        <w:adjustRightInd w:val="0"/>
        <w:spacing w:after="0" w:line="240" w:lineRule="auto"/>
        <w:ind w:firstLine="672"/>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социальная политика -11078,2 тыс. рублей.</w:t>
      </w:r>
    </w:p>
    <w:p w:rsidR="008D182D" w:rsidRPr="008D182D" w:rsidRDefault="008D182D" w:rsidP="008D182D">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lang w:eastAsia="ru-RU"/>
        </w:rPr>
        <w:t>Как следует из сведений об исполнении бюджета по ГАБС форм 0503164, а также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 в результате проведения конкурсных процедур, длительностью проведения конкурсных процедур и использование бюджетных средств по фактической потребности, а также не освоение средств субсидии по развитию туристско-рекреационных зон по причине несостоявшихся конкурсных процедур в размере 170000,0 тыс. рублей; не поступление безвозмездных поступлений от ООО «Сибуголь» по Соглашению в размере 3917,0 тыс. рублей.</w:t>
      </w:r>
    </w:p>
    <w:p w:rsidR="008D182D" w:rsidRPr="008D182D" w:rsidRDefault="008D182D" w:rsidP="008D182D">
      <w:pPr>
        <w:spacing w:after="0" w:line="240" w:lineRule="auto"/>
        <w:ind w:firstLine="567"/>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Публичные нормативные обязательства (пенсия за выслугу лет лицам, замещающим муниципальные должности, ежегодная денежная выплата Почетным гражданам) исполнены в сумме 1547,4 тыс. рублей или на 100,0% от уточненной бюджетной росписи.</w:t>
      </w:r>
    </w:p>
    <w:p w:rsidR="008D182D" w:rsidRPr="008D182D" w:rsidRDefault="008D182D" w:rsidP="008D182D">
      <w:pPr>
        <w:spacing w:after="0" w:line="240" w:lineRule="auto"/>
        <w:ind w:firstLine="709"/>
        <w:jc w:val="center"/>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lastRenderedPageBreak/>
        <w:t>Исполнение районного бюджета по ведомственной</w:t>
      </w:r>
    </w:p>
    <w:p w:rsidR="008D182D" w:rsidRPr="008D182D" w:rsidRDefault="008D182D" w:rsidP="008D182D">
      <w:pPr>
        <w:spacing w:after="0" w:line="240" w:lineRule="auto"/>
        <w:ind w:firstLine="709"/>
        <w:jc w:val="center"/>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 xml:space="preserve">структуре расходов </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Аналитическая информация по исполнению районного бюджета по ведомственной структуре расходов представлена в таблице </w:t>
      </w:r>
    </w:p>
    <w:p w:rsidR="008D182D" w:rsidRPr="008D182D" w:rsidRDefault="008D182D" w:rsidP="008D182D">
      <w:pPr>
        <w:spacing w:after="0" w:line="240" w:lineRule="auto"/>
        <w:ind w:firstLine="709"/>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Тыс. рублей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3"/>
        <w:gridCol w:w="1183"/>
        <w:gridCol w:w="1275"/>
        <w:gridCol w:w="851"/>
        <w:gridCol w:w="1134"/>
        <w:gridCol w:w="850"/>
      </w:tblGrid>
      <w:tr w:rsidR="008D182D" w:rsidRPr="008D182D" w:rsidTr="00F00E89">
        <w:trPr>
          <w:trHeight w:val="537"/>
        </w:trPr>
        <w:tc>
          <w:tcPr>
            <w:tcW w:w="4233" w:type="dxa"/>
            <w:vMerge w:val="restart"/>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Наименование</w:t>
            </w:r>
          </w:p>
        </w:tc>
        <w:tc>
          <w:tcPr>
            <w:tcW w:w="1183" w:type="dxa"/>
            <w:vMerge w:val="restart"/>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Утвержд. бюджетные назначения         (тыс. руб.)</w:t>
            </w:r>
          </w:p>
        </w:tc>
        <w:tc>
          <w:tcPr>
            <w:tcW w:w="1275" w:type="dxa"/>
            <w:vMerge w:val="restart"/>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Исполнено                по отчету об исполнении бюджета                                 (тыс. руб.)</w:t>
            </w:r>
          </w:p>
        </w:tc>
        <w:tc>
          <w:tcPr>
            <w:tcW w:w="851" w:type="dxa"/>
            <w:shd w:val="clear" w:color="auto" w:fill="D9D9D9" w:themeFill="background1" w:themeFillShade="D9"/>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Доля,%</w:t>
            </w:r>
          </w:p>
        </w:tc>
        <w:tc>
          <w:tcPr>
            <w:tcW w:w="1134" w:type="dxa"/>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отклонение               (гр.2-гр.1)</w:t>
            </w:r>
          </w:p>
        </w:tc>
        <w:tc>
          <w:tcPr>
            <w:tcW w:w="850" w:type="dxa"/>
            <w:vMerge w:val="restart"/>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 исполнения</w:t>
            </w:r>
          </w:p>
          <w:p w:rsidR="008D182D" w:rsidRPr="008D182D" w:rsidRDefault="008D182D" w:rsidP="008D182D">
            <w:pPr>
              <w:spacing w:after="0" w:line="240" w:lineRule="auto"/>
              <w:jc w:val="center"/>
              <w:rPr>
                <w:rFonts w:ascii="Times New Roman" w:eastAsia="Times New Roman" w:hAnsi="Times New Roman" w:cs="Times New Roman"/>
                <w:bCs/>
                <w:lang w:eastAsia="ru-RU"/>
              </w:rPr>
            </w:pPr>
          </w:p>
        </w:tc>
      </w:tr>
      <w:tr w:rsidR="008D182D" w:rsidRPr="008D182D" w:rsidTr="00F00E89">
        <w:trPr>
          <w:trHeight w:val="417"/>
        </w:trPr>
        <w:tc>
          <w:tcPr>
            <w:tcW w:w="4233" w:type="dxa"/>
            <w:vMerge/>
            <w:vAlign w:val="center"/>
          </w:tcPr>
          <w:p w:rsidR="008D182D" w:rsidRPr="008D182D" w:rsidRDefault="008D182D" w:rsidP="008D182D">
            <w:pPr>
              <w:spacing w:after="0" w:line="240" w:lineRule="auto"/>
              <w:rPr>
                <w:rFonts w:ascii="Times New Roman" w:eastAsia="Times New Roman" w:hAnsi="Times New Roman" w:cs="Times New Roman"/>
                <w:bCs/>
                <w:lang w:eastAsia="ru-RU"/>
              </w:rPr>
            </w:pPr>
          </w:p>
        </w:tc>
        <w:tc>
          <w:tcPr>
            <w:tcW w:w="1183" w:type="dxa"/>
            <w:vMerge/>
            <w:vAlign w:val="center"/>
          </w:tcPr>
          <w:p w:rsidR="008D182D" w:rsidRPr="008D182D" w:rsidRDefault="008D182D" w:rsidP="008D182D">
            <w:pPr>
              <w:spacing w:after="0" w:line="240" w:lineRule="auto"/>
              <w:rPr>
                <w:rFonts w:ascii="Times New Roman" w:eastAsia="Times New Roman" w:hAnsi="Times New Roman" w:cs="Times New Roman"/>
                <w:bCs/>
                <w:lang w:eastAsia="ru-RU"/>
              </w:rPr>
            </w:pPr>
          </w:p>
        </w:tc>
        <w:tc>
          <w:tcPr>
            <w:tcW w:w="1275" w:type="dxa"/>
            <w:vMerge/>
            <w:vAlign w:val="center"/>
          </w:tcPr>
          <w:p w:rsidR="008D182D" w:rsidRPr="008D182D" w:rsidRDefault="008D182D" w:rsidP="008D182D">
            <w:pPr>
              <w:spacing w:after="0" w:line="240" w:lineRule="auto"/>
              <w:rPr>
                <w:rFonts w:ascii="Times New Roman" w:eastAsia="Times New Roman" w:hAnsi="Times New Roman" w:cs="Times New Roman"/>
                <w:bCs/>
                <w:lang w:eastAsia="ru-RU"/>
              </w:rPr>
            </w:pPr>
          </w:p>
        </w:tc>
        <w:tc>
          <w:tcPr>
            <w:tcW w:w="851" w:type="dxa"/>
          </w:tcPr>
          <w:p w:rsidR="008D182D" w:rsidRPr="008D182D" w:rsidRDefault="008D182D" w:rsidP="008D182D">
            <w:pPr>
              <w:spacing w:after="0" w:line="240" w:lineRule="auto"/>
              <w:jc w:val="center"/>
              <w:rPr>
                <w:rFonts w:ascii="Times New Roman" w:eastAsia="Times New Roman" w:hAnsi="Times New Roman" w:cs="Times New Roman"/>
                <w:bCs/>
                <w:lang w:eastAsia="ru-RU"/>
              </w:rPr>
            </w:pPr>
          </w:p>
        </w:tc>
        <w:tc>
          <w:tcPr>
            <w:tcW w:w="1134" w:type="dxa"/>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тыс. руб.</w:t>
            </w:r>
          </w:p>
        </w:tc>
        <w:tc>
          <w:tcPr>
            <w:tcW w:w="850" w:type="dxa"/>
            <w:vMerge/>
            <w:vAlign w:val="center"/>
          </w:tcPr>
          <w:p w:rsidR="008D182D" w:rsidRPr="008D182D" w:rsidRDefault="008D182D" w:rsidP="008D182D">
            <w:pPr>
              <w:spacing w:after="0" w:line="240" w:lineRule="auto"/>
              <w:jc w:val="center"/>
              <w:rPr>
                <w:rFonts w:ascii="Times New Roman" w:eastAsia="Times New Roman" w:hAnsi="Times New Roman" w:cs="Times New Roman"/>
                <w:bCs/>
                <w:lang w:eastAsia="ru-RU"/>
              </w:rPr>
            </w:pPr>
          </w:p>
        </w:tc>
      </w:tr>
      <w:tr w:rsidR="008D182D" w:rsidRPr="008D182D" w:rsidTr="00F00E89">
        <w:trPr>
          <w:trHeight w:val="226"/>
        </w:trPr>
        <w:tc>
          <w:tcPr>
            <w:tcW w:w="4233" w:type="dxa"/>
            <w:noWrap/>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А</w:t>
            </w:r>
          </w:p>
        </w:tc>
        <w:tc>
          <w:tcPr>
            <w:tcW w:w="1183" w:type="dxa"/>
            <w:noWrap/>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w:t>
            </w:r>
          </w:p>
        </w:tc>
        <w:tc>
          <w:tcPr>
            <w:tcW w:w="1275" w:type="dxa"/>
            <w:noWrap/>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2</w:t>
            </w:r>
          </w:p>
        </w:tc>
        <w:tc>
          <w:tcPr>
            <w:tcW w:w="851" w:type="dxa"/>
          </w:tcPr>
          <w:p w:rsidR="008D182D" w:rsidRPr="008D182D" w:rsidRDefault="008D182D" w:rsidP="008D182D">
            <w:pPr>
              <w:spacing w:after="0" w:line="240" w:lineRule="auto"/>
              <w:jc w:val="center"/>
              <w:rPr>
                <w:rFonts w:ascii="Times New Roman" w:eastAsia="Times New Roman" w:hAnsi="Times New Roman" w:cs="Times New Roman"/>
                <w:bCs/>
                <w:lang w:eastAsia="ru-RU"/>
              </w:rPr>
            </w:pPr>
          </w:p>
        </w:tc>
        <w:tc>
          <w:tcPr>
            <w:tcW w:w="1134" w:type="dxa"/>
            <w:noWrap/>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3</w:t>
            </w:r>
          </w:p>
        </w:tc>
        <w:tc>
          <w:tcPr>
            <w:tcW w:w="850" w:type="dxa"/>
            <w:noWrap/>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4</w:t>
            </w:r>
          </w:p>
        </w:tc>
      </w:tr>
      <w:tr w:rsidR="008D182D" w:rsidRPr="008D182D" w:rsidTr="00F00E89">
        <w:trPr>
          <w:trHeight w:val="269"/>
        </w:trPr>
        <w:tc>
          <w:tcPr>
            <w:tcW w:w="4233" w:type="dxa"/>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Балахтинский районный Совет депутатов</w:t>
            </w:r>
          </w:p>
        </w:tc>
        <w:tc>
          <w:tcPr>
            <w:tcW w:w="1183"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4568,7</w:t>
            </w:r>
          </w:p>
        </w:tc>
        <w:tc>
          <w:tcPr>
            <w:tcW w:w="1275"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4550,8</w:t>
            </w:r>
          </w:p>
        </w:tc>
        <w:tc>
          <w:tcPr>
            <w:tcW w:w="851" w:type="dxa"/>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0,35</w:t>
            </w:r>
          </w:p>
        </w:tc>
        <w:tc>
          <w:tcPr>
            <w:tcW w:w="1134"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-17,9</w:t>
            </w:r>
          </w:p>
        </w:tc>
        <w:tc>
          <w:tcPr>
            <w:tcW w:w="850"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99,6</w:t>
            </w:r>
          </w:p>
        </w:tc>
      </w:tr>
      <w:tr w:rsidR="008D182D" w:rsidRPr="008D182D" w:rsidTr="00F00E89">
        <w:trPr>
          <w:trHeight w:val="269"/>
        </w:trPr>
        <w:tc>
          <w:tcPr>
            <w:tcW w:w="4233" w:type="dxa"/>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МКУ «Служба заказчика Балахтинского района»</w:t>
            </w:r>
          </w:p>
        </w:tc>
        <w:tc>
          <w:tcPr>
            <w:tcW w:w="1183"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74909,4</w:t>
            </w:r>
          </w:p>
        </w:tc>
        <w:tc>
          <w:tcPr>
            <w:tcW w:w="1275"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70526,4</w:t>
            </w:r>
          </w:p>
        </w:tc>
        <w:tc>
          <w:tcPr>
            <w:tcW w:w="851"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5,4</w:t>
            </w:r>
          </w:p>
        </w:tc>
        <w:tc>
          <w:tcPr>
            <w:tcW w:w="1134"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-4383,0</w:t>
            </w:r>
          </w:p>
        </w:tc>
        <w:tc>
          <w:tcPr>
            <w:tcW w:w="850"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94,1</w:t>
            </w:r>
          </w:p>
        </w:tc>
      </w:tr>
      <w:tr w:rsidR="008D182D" w:rsidRPr="008D182D" w:rsidTr="00F00E89">
        <w:trPr>
          <w:trHeight w:val="294"/>
        </w:trPr>
        <w:tc>
          <w:tcPr>
            <w:tcW w:w="4233" w:type="dxa"/>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Отдел культуры и молодежной политики администрации Балахтинского района</w:t>
            </w:r>
          </w:p>
        </w:tc>
        <w:tc>
          <w:tcPr>
            <w:tcW w:w="1183"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111455,3</w:t>
            </w:r>
          </w:p>
        </w:tc>
        <w:tc>
          <w:tcPr>
            <w:tcW w:w="1275"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111255,2</w:t>
            </w:r>
          </w:p>
        </w:tc>
        <w:tc>
          <w:tcPr>
            <w:tcW w:w="851" w:type="dxa"/>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8,6</w:t>
            </w:r>
          </w:p>
        </w:tc>
        <w:tc>
          <w:tcPr>
            <w:tcW w:w="1134"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-200,1</w:t>
            </w:r>
          </w:p>
        </w:tc>
        <w:tc>
          <w:tcPr>
            <w:tcW w:w="850" w:type="dxa"/>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99,8</w:t>
            </w:r>
          </w:p>
        </w:tc>
      </w:tr>
      <w:tr w:rsidR="008D182D" w:rsidRPr="008D182D" w:rsidTr="00F00E89">
        <w:trPr>
          <w:trHeight w:val="336"/>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Управление образования администрации Балахтинского района</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641309,5</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636620,1</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49,4</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-4689,4</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99,3</w:t>
            </w:r>
          </w:p>
        </w:tc>
      </w:tr>
      <w:tr w:rsidR="008D182D" w:rsidRPr="008D182D" w:rsidTr="00F00E89">
        <w:trPr>
          <w:trHeight w:val="336"/>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Финансовое управление администрации Балахтинского района</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268598,6</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268338,3</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20,8</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-260,3</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99,9</w:t>
            </w:r>
          </w:p>
        </w:tc>
      </w:tr>
      <w:tr w:rsidR="008D182D" w:rsidRPr="008D182D" w:rsidTr="00F00E89">
        <w:trPr>
          <w:trHeight w:val="336"/>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Администрация Балахтинского района</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156973,3</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134289,9</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10,4</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-22683,4</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85,5</w:t>
            </w:r>
          </w:p>
        </w:tc>
      </w:tr>
      <w:tr w:rsidR="008D182D" w:rsidRPr="008D182D" w:rsidTr="00F00E89">
        <w:trPr>
          <w:trHeight w:val="336"/>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МКСУ «Межведомственная бухгалтерия»</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15525,2</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15291,2</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-234,0</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98,5</w:t>
            </w:r>
          </w:p>
        </w:tc>
      </w:tr>
      <w:tr w:rsidR="008D182D" w:rsidRPr="008D182D" w:rsidTr="00F00E89">
        <w:trPr>
          <w:trHeight w:val="336"/>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МКУ «Балахтинский технологический центр»</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38758,5</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38554,5</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2,9</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-204,0</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99,4</w:t>
            </w:r>
          </w:p>
        </w:tc>
      </w:tr>
      <w:tr w:rsidR="008D182D" w:rsidRPr="008D182D" w:rsidTr="00F00E89">
        <w:trPr>
          <w:trHeight w:val="314"/>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МКУ «Управление имуществом ,землепользования и землеустройства»</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18431,6</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8140,8</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lang w:eastAsia="ru-RU"/>
              </w:rPr>
            </w:pPr>
          </w:p>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0,6</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-10290,8</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44,1</w:t>
            </w:r>
          </w:p>
        </w:tc>
      </w:tr>
      <w:tr w:rsidR="008D182D" w:rsidRPr="008D182D" w:rsidTr="00F00E89">
        <w:trPr>
          <w:trHeight w:val="331"/>
        </w:trPr>
        <w:tc>
          <w:tcPr>
            <w:tcW w:w="4233" w:type="dxa"/>
            <w:shd w:val="clear" w:color="auto" w:fill="FFFFFF"/>
            <w:vAlign w:val="bottom"/>
          </w:tcPr>
          <w:p w:rsidR="008D182D" w:rsidRPr="008D182D" w:rsidRDefault="008D182D" w:rsidP="008D182D">
            <w:pPr>
              <w:spacing w:after="0" w:line="240" w:lineRule="auto"/>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 xml:space="preserve">ВСЕГО РАСХОДОВ </w:t>
            </w:r>
          </w:p>
        </w:tc>
        <w:tc>
          <w:tcPr>
            <w:tcW w:w="1183"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1330529,9</w:t>
            </w:r>
          </w:p>
        </w:tc>
        <w:tc>
          <w:tcPr>
            <w:tcW w:w="1275"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1287567,1</w:t>
            </w:r>
          </w:p>
        </w:tc>
        <w:tc>
          <w:tcPr>
            <w:tcW w:w="851" w:type="dxa"/>
            <w:shd w:val="clear" w:color="auto" w:fill="FFFFFF"/>
          </w:tcPr>
          <w:p w:rsidR="008D182D" w:rsidRPr="008D182D" w:rsidRDefault="008D182D" w:rsidP="008D182D">
            <w:pPr>
              <w:spacing w:after="0" w:line="240" w:lineRule="auto"/>
              <w:jc w:val="right"/>
              <w:rPr>
                <w:rFonts w:ascii="Times New Roman" w:eastAsia="Times New Roman" w:hAnsi="Times New Roman" w:cs="Times New Roman"/>
                <w:bCs/>
                <w:lang w:eastAsia="ru-RU"/>
              </w:rPr>
            </w:pPr>
          </w:p>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100,0</w:t>
            </w:r>
          </w:p>
        </w:tc>
        <w:tc>
          <w:tcPr>
            <w:tcW w:w="1134"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-42962,8</w:t>
            </w:r>
          </w:p>
        </w:tc>
        <w:tc>
          <w:tcPr>
            <w:tcW w:w="850" w:type="dxa"/>
            <w:shd w:val="clear" w:color="auto" w:fill="FFFFFF"/>
            <w:noWrap/>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96,7</w:t>
            </w:r>
          </w:p>
        </w:tc>
      </w:tr>
    </w:tbl>
    <w:p w:rsidR="008D182D" w:rsidRPr="008D182D" w:rsidRDefault="008D182D" w:rsidP="008D182D">
      <w:pPr>
        <w:spacing w:after="0" w:line="240" w:lineRule="auto"/>
        <w:ind w:firstLine="709"/>
        <w:jc w:val="both"/>
        <w:rPr>
          <w:rFonts w:ascii="Times New Roman" w:eastAsia="Times New Roman" w:hAnsi="Times New Roman" w:cs="Times New Roman"/>
          <w:sz w:val="24"/>
          <w:szCs w:val="24"/>
          <w:lang w:eastAsia="ru-RU"/>
        </w:rPr>
      </w:pPr>
    </w:p>
    <w:p w:rsidR="008D182D" w:rsidRPr="008D182D" w:rsidRDefault="008D182D" w:rsidP="008D182D">
      <w:pPr>
        <w:spacing w:after="0"/>
        <w:jc w:val="both"/>
        <w:outlineLvl w:val="4"/>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Наибольший объем неисполненных обязательств, сложился по Администрации Балахтинского района»-22683,4 тыс. рублей, МКУ «УИЗИЗ» -10290,8 тыс. рублей по</w:t>
      </w:r>
      <w:r w:rsidRPr="008D182D">
        <w:rPr>
          <w:rFonts w:ascii="Times New Roman" w:hAnsi="Times New Roman" w:cs="Times New Roman"/>
          <w:sz w:val="26"/>
          <w:szCs w:val="26"/>
        </w:rPr>
        <w:t xml:space="preserve"> субвенции бюджетам муниципальных образований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 за счет средств краевого бюджета .</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Относительно доли расходов в объеме исполненных расходах районного бюджета по ведомственной структуре следует отметить, что доли расходов ГРБС распределились следующим образом:</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Управление образования 49,4 %;</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Финансовое управление – 20,8 %;</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Отдел культуры молодежной политики-8,6%;</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Администрация муниципального района – 10,4 %;</w:t>
      </w:r>
    </w:p>
    <w:p w:rsidR="008D182D" w:rsidRPr="008D182D" w:rsidRDefault="008D182D" w:rsidP="008D182D">
      <w:pPr>
        <w:spacing w:after="0" w:line="276" w:lineRule="auto"/>
        <w:ind w:firstLine="709"/>
        <w:jc w:val="both"/>
        <w:rPr>
          <w:rFonts w:ascii="Times New Roman" w:eastAsia="Times New Roman" w:hAnsi="Times New Roman" w:cs="Times New Roman"/>
          <w:sz w:val="28"/>
          <w:szCs w:val="28"/>
          <w:lang w:eastAsia="ru-RU"/>
        </w:rPr>
      </w:pPr>
      <w:r w:rsidRPr="008D182D">
        <w:rPr>
          <w:rFonts w:ascii="Times New Roman" w:eastAsia="Times New Roman" w:hAnsi="Times New Roman" w:cs="Times New Roman"/>
          <w:sz w:val="28"/>
          <w:szCs w:val="28"/>
          <w:lang w:eastAsia="ru-RU"/>
        </w:rPr>
        <w:t>Суммарный удельный вес остальных главных распорядителей средств районного бюджета составляет 10,8 %.</w:t>
      </w:r>
    </w:p>
    <w:p w:rsidR="008D182D" w:rsidRPr="008D182D" w:rsidRDefault="008D182D" w:rsidP="008D182D">
      <w:pPr>
        <w:autoSpaceDE w:val="0"/>
        <w:autoSpaceDN w:val="0"/>
        <w:adjustRightInd w:val="0"/>
        <w:spacing w:after="0" w:line="240" w:lineRule="auto"/>
        <w:ind w:firstLine="540"/>
        <w:jc w:val="both"/>
        <w:rPr>
          <w:rFonts w:ascii="Times New Roman" w:hAnsi="Times New Roman" w:cs="Times New Roman"/>
          <w:sz w:val="26"/>
          <w:szCs w:val="26"/>
        </w:rPr>
      </w:pPr>
      <w:r w:rsidRPr="008D182D">
        <w:rPr>
          <w:rFonts w:ascii="Times New Roman" w:eastAsia="Times New Roman" w:hAnsi="Times New Roman" w:cs="Times New Roman"/>
          <w:bCs/>
          <w:color w:val="000000" w:themeColor="text1"/>
          <w:sz w:val="27"/>
          <w:szCs w:val="27"/>
          <w:lang w:eastAsia="ru-RU"/>
        </w:rPr>
        <w:t xml:space="preserve">В рамках проведенного контрольного мероприятия установлен факт </w:t>
      </w:r>
      <w:r w:rsidRPr="008D182D">
        <w:rPr>
          <w:rFonts w:ascii="Times New Roman" w:hAnsi="Times New Roman" w:cs="Times New Roman"/>
          <w:sz w:val="26"/>
          <w:szCs w:val="26"/>
        </w:rPr>
        <w:t xml:space="preserve">не отражения в 2021 году на счетах бухгалтерского учета имущества стоимостью -5000,0 </w:t>
      </w:r>
      <w:r w:rsidRPr="008D182D">
        <w:rPr>
          <w:rFonts w:ascii="Times New Roman" w:hAnsi="Times New Roman" w:cs="Times New Roman"/>
          <w:sz w:val="26"/>
          <w:szCs w:val="26"/>
        </w:rPr>
        <w:lastRenderedPageBreak/>
        <w:t>тыс. рублей, что привело к искажению (занижению) данных строки 010 «Основные средства» Баланса (ф.0503730) на 01.01.2022года, что может негативно повлиять на достоверность отчета об исполнении районного бюджета.</w:t>
      </w:r>
    </w:p>
    <w:p w:rsidR="008D182D" w:rsidRPr="008D182D" w:rsidRDefault="008D182D" w:rsidP="008D182D">
      <w:pPr>
        <w:autoSpaceDE w:val="0"/>
        <w:autoSpaceDN w:val="0"/>
        <w:adjustRightInd w:val="0"/>
        <w:spacing w:after="0" w:line="240" w:lineRule="auto"/>
        <w:jc w:val="center"/>
        <w:rPr>
          <w:rFonts w:ascii="Times New Roman" w:hAnsi="Times New Roman" w:cs="Times New Roman"/>
          <w:b/>
          <w:sz w:val="26"/>
          <w:szCs w:val="26"/>
        </w:rPr>
      </w:pPr>
      <w:r w:rsidRPr="008D182D">
        <w:rPr>
          <w:rFonts w:ascii="Times New Roman" w:hAnsi="Times New Roman" w:cs="Times New Roman"/>
          <w:b/>
          <w:sz w:val="26"/>
          <w:szCs w:val="26"/>
        </w:rPr>
        <w:t>Расходы на реализацию региональных проектов</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Расходы на реализацию 5-ми региональных проектов в 2021 году составили 21806,1 тыс. рублей или 99,9% от уточненных бюджетных назначений.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Информация об исполнении районного бюджета в рамках региональных проектов представлена в диаграмме</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8"/>
          <w:szCs w:val="28"/>
        </w:rPr>
      </w:pPr>
      <w:r w:rsidRPr="008D182D">
        <w:rPr>
          <w:rFonts w:ascii="Times New Roman" w:hAnsi="Times New Roman" w:cs="Times New Roman"/>
          <w:noProof/>
          <w:sz w:val="28"/>
          <w:szCs w:val="28"/>
          <w:lang w:eastAsia="ru-RU"/>
        </w:rPr>
        <w:drawing>
          <wp:inline distT="0" distB="0" distL="0" distR="0" wp14:anchorId="24E47B46" wp14:editId="6C59FDCD">
            <wp:extent cx="5486400" cy="25241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8"/>
          <w:szCs w:val="28"/>
        </w:rPr>
      </w:pP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Наибольший объем расходов 19828,9 тыс. рублей (90,9%) приходится на  реализацию  региональных проектов в рамках  3-х национальных проектов, в том числе :</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НП «Образование» -4505,0 тыс.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НП «Жилье и городская среда»- 10000,0 тыс.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8"/>
          <w:szCs w:val="28"/>
        </w:rPr>
      </w:pPr>
      <w:r w:rsidRPr="008D182D">
        <w:rPr>
          <w:rFonts w:ascii="Times New Roman" w:hAnsi="Times New Roman" w:cs="Times New Roman"/>
          <w:sz w:val="26"/>
          <w:szCs w:val="26"/>
        </w:rPr>
        <w:t>НП «Цифровая экономика» -5328,9 тыс. рублей</w:t>
      </w:r>
      <w:r w:rsidRPr="008D182D">
        <w:rPr>
          <w:rFonts w:ascii="Times New Roman" w:hAnsi="Times New Roman" w:cs="Times New Roman"/>
          <w:sz w:val="28"/>
          <w:szCs w:val="28"/>
        </w:rPr>
        <w:t xml:space="preserve">. </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Наименьший объем расходов приходится на реализацию региональных проектов в рамках национальных проектов: НП «Безопасные и качественные дороги»-1192,3 тыс. рублей, НП «Культура»-784,9 тыс. рублей.</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Информация о бюджетных ассигнованиях на реализацию региональных проектов в рамках национальных проектов представлена в таблице:</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p>
    <w:tbl>
      <w:tblPr>
        <w:tblStyle w:val="a5"/>
        <w:tblW w:w="0" w:type="auto"/>
        <w:tblLook w:val="04A0" w:firstRow="1" w:lastRow="0" w:firstColumn="1" w:lastColumn="0" w:noHBand="0" w:noVBand="1"/>
      </w:tblPr>
      <w:tblGrid>
        <w:gridCol w:w="562"/>
        <w:gridCol w:w="567"/>
        <w:gridCol w:w="3674"/>
        <w:gridCol w:w="1601"/>
        <w:gridCol w:w="1601"/>
        <w:gridCol w:w="1601"/>
      </w:tblGrid>
      <w:tr w:rsidR="008D182D" w:rsidRPr="008D182D" w:rsidTr="00F00E89">
        <w:tc>
          <w:tcPr>
            <w:tcW w:w="562" w:type="dxa"/>
            <w:shd w:val="clear" w:color="auto" w:fill="D9D9D9" w:themeFill="background1" w:themeFillShade="D9"/>
          </w:tcPr>
          <w:p w:rsidR="008D182D" w:rsidRPr="008D182D" w:rsidRDefault="008D182D" w:rsidP="008D182D">
            <w:pPr>
              <w:autoSpaceDE w:val="0"/>
              <w:autoSpaceDN w:val="0"/>
              <w:adjustRightInd w:val="0"/>
              <w:jc w:val="both"/>
            </w:pPr>
            <w:r w:rsidRPr="008D182D">
              <w:t>№ п/п</w:t>
            </w:r>
          </w:p>
        </w:tc>
        <w:tc>
          <w:tcPr>
            <w:tcW w:w="567" w:type="dxa"/>
            <w:shd w:val="clear" w:color="auto" w:fill="D9D9D9" w:themeFill="background1" w:themeFillShade="D9"/>
          </w:tcPr>
          <w:p w:rsidR="008D182D" w:rsidRPr="008D182D" w:rsidRDefault="008D182D" w:rsidP="008D182D">
            <w:pPr>
              <w:autoSpaceDE w:val="0"/>
              <w:autoSpaceDN w:val="0"/>
              <w:adjustRightInd w:val="0"/>
              <w:jc w:val="both"/>
            </w:pPr>
            <w:r w:rsidRPr="008D182D">
              <w:t>Код НП</w:t>
            </w:r>
          </w:p>
        </w:tc>
        <w:tc>
          <w:tcPr>
            <w:tcW w:w="3674" w:type="dxa"/>
            <w:shd w:val="clear" w:color="auto" w:fill="D9D9D9" w:themeFill="background1" w:themeFillShade="D9"/>
          </w:tcPr>
          <w:p w:rsidR="008D182D" w:rsidRPr="008D182D" w:rsidRDefault="008D182D" w:rsidP="008D182D">
            <w:pPr>
              <w:autoSpaceDE w:val="0"/>
              <w:autoSpaceDN w:val="0"/>
              <w:adjustRightInd w:val="0"/>
              <w:jc w:val="both"/>
            </w:pPr>
            <w:r w:rsidRPr="008D182D">
              <w:t>Наименование национального проекта</w:t>
            </w:r>
          </w:p>
        </w:tc>
        <w:tc>
          <w:tcPr>
            <w:tcW w:w="1601" w:type="dxa"/>
            <w:shd w:val="clear" w:color="auto" w:fill="D9D9D9" w:themeFill="background1" w:themeFillShade="D9"/>
          </w:tcPr>
          <w:p w:rsidR="008D182D" w:rsidRPr="008D182D" w:rsidRDefault="008D182D" w:rsidP="008D182D">
            <w:pPr>
              <w:autoSpaceDE w:val="0"/>
              <w:autoSpaceDN w:val="0"/>
              <w:adjustRightInd w:val="0"/>
              <w:jc w:val="both"/>
            </w:pPr>
            <w:r w:rsidRPr="008D182D">
              <w:t>Исполнение по состоянию на 31.12.2020г.</w:t>
            </w:r>
          </w:p>
        </w:tc>
        <w:tc>
          <w:tcPr>
            <w:tcW w:w="1601" w:type="dxa"/>
            <w:shd w:val="clear" w:color="auto" w:fill="D9D9D9" w:themeFill="background1" w:themeFillShade="D9"/>
          </w:tcPr>
          <w:p w:rsidR="008D182D" w:rsidRPr="008D182D" w:rsidRDefault="008D182D" w:rsidP="008D182D">
            <w:pPr>
              <w:autoSpaceDE w:val="0"/>
              <w:autoSpaceDN w:val="0"/>
              <w:adjustRightInd w:val="0"/>
              <w:jc w:val="both"/>
            </w:pPr>
            <w:r w:rsidRPr="008D182D">
              <w:t>Неисполненные</w:t>
            </w:r>
          </w:p>
        </w:tc>
        <w:tc>
          <w:tcPr>
            <w:tcW w:w="1601" w:type="dxa"/>
            <w:shd w:val="clear" w:color="auto" w:fill="D9D9D9" w:themeFill="background1" w:themeFillShade="D9"/>
          </w:tcPr>
          <w:p w:rsidR="008D182D" w:rsidRPr="008D182D" w:rsidRDefault="008D182D" w:rsidP="008D182D">
            <w:pPr>
              <w:autoSpaceDE w:val="0"/>
              <w:autoSpaceDN w:val="0"/>
              <w:adjustRightInd w:val="0"/>
              <w:jc w:val="both"/>
            </w:pPr>
            <w:r w:rsidRPr="008D182D">
              <w:t>Уровень исполнения %</w:t>
            </w:r>
          </w:p>
        </w:tc>
      </w:tr>
      <w:tr w:rsidR="008D182D" w:rsidRPr="008D182D" w:rsidTr="00F00E89">
        <w:tc>
          <w:tcPr>
            <w:tcW w:w="562" w:type="dxa"/>
          </w:tcPr>
          <w:p w:rsidR="008D182D" w:rsidRPr="008D182D" w:rsidRDefault="008D182D" w:rsidP="008D182D">
            <w:pPr>
              <w:autoSpaceDE w:val="0"/>
              <w:autoSpaceDN w:val="0"/>
              <w:adjustRightInd w:val="0"/>
              <w:jc w:val="both"/>
            </w:pPr>
            <w:r w:rsidRPr="008D182D">
              <w:t>1.</w:t>
            </w:r>
          </w:p>
        </w:tc>
        <w:tc>
          <w:tcPr>
            <w:tcW w:w="567" w:type="dxa"/>
          </w:tcPr>
          <w:p w:rsidR="008D182D" w:rsidRPr="008D182D" w:rsidRDefault="008D182D" w:rsidP="008D182D">
            <w:pPr>
              <w:autoSpaceDE w:val="0"/>
              <w:autoSpaceDN w:val="0"/>
              <w:adjustRightInd w:val="0"/>
              <w:jc w:val="both"/>
              <w:rPr>
                <w:lang w:val="en-US"/>
              </w:rPr>
            </w:pPr>
            <w:r w:rsidRPr="008D182D">
              <w:rPr>
                <w:lang w:val="en-US"/>
              </w:rPr>
              <w:t>R</w:t>
            </w:r>
          </w:p>
        </w:tc>
        <w:tc>
          <w:tcPr>
            <w:tcW w:w="3674" w:type="dxa"/>
          </w:tcPr>
          <w:p w:rsidR="008D182D" w:rsidRPr="008D182D" w:rsidRDefault="008D182D" w:rsidP="008D182D">
            <w:pPr>
              <w:autoSpaceDE w:val="0"/>
              <w:autoSpaceDN w:val="0"/>
              <w:adjustRightInd w:val="0"/>
              <w:jc w:val="both"/>
            </w:pPr>
            <w:r w:rsidRPr="008D182D">
              <w:t>Безопасные и качественные дороги</w:t>
            </w:r>
          </w:p>
        </w:tc>
        <w:tc>
          <w:tcPr>
            <w:tcW w:w="1601" w:type="dxa"/>
          </w:tcPr>
          <w:p w:rsidR="008D182D" w:rsidRPr="008D182D" w:rsidRDefault="008D182D" w:rsidP="008D182D">
            <w:pPr>
              <w:autoSpaceDE w:val="0"/>
              <w:autoSpaceDN w:val="0"/>
              <w:adjustRightInd w:val="0"/>
              <w:jc w:val="both"/>
            </w:pPr>
            <w:r w:rsidRPr="008D182D">
              <w:t>1192,3</w:t>
            </w:r>
          </w:p>
        </w:tc>
        <w:tc>
          <w:tcPr>
            <w:tcW w:w="1601" w:type="dxa"/>
          </w:tcPr>
          <w:p w:rsidR="008D182D" w:rsidRPr="008D182D" w:rsidRDefault="008D182D" w:rsidP="008D182D">
            <w:pPr>
              <w:autoSpaceDE w:val="0"/>
              <w:autoSpaceDN w:val="0"/>
              <w:adjustRightInd w:val="0"/>
              <w:jc w:val="both"/>
            </w:pPr>
          </w:p>
        </w:tc>
        <w:tc>
          <w:tcPr>
            <w:tcW w:w="1601" w:type="dxa"/>
          </w:tcPr>
          <w:p w:rsidR="008D182D" w:rsidRPr="008D182D" w:rsidRDefault="008D182D" w:rsidP="008D182D">
            <w:pPr>
              <w:autoSpaceDE w:val="0"/>
              <w:autoSpaceDN w:val="0"/>
              <w:adjustRightInd w:val="0"/>
              <w:jc w:val="both"/>
            </w:pPr>
            <w:r w:rsidRPr="008D182D">
              <w:t>100,0</w:t>
            </w:r>
          </w:p>
        </w:tc>
      </w:tr>
      <w:tr w:rsidR="008D182D" w:rsidRPr="008D182D" w:rsidTr="00F00E89">
        <w:tc>
          <w:tcPr>
            <w:tcW w:w="562" w:type="dxa"/>
          </w:tcPr>
          <w:p w:rsidR="008D182D" w:rsidRPr="008D182D" w:rsidRDefault="008D182D" w:rsidP="008D182D">
            <w:pPr>
              <w:autoSpaceDE w:val="0"/>
              <w:autoSpaceDN w:val="0"/>
              <w:adjustRightInd w:val="0"/>
              <w:jc w:val="both"/>
            </w:pPr>
            <w:r w:rsidRPr="008D182D">
              <w:t>2.</w:t>
            </w:r>
          </w:p>
        </w:tc>
        <w:tc>
          <w:tcPr>
            <w:tcW w:w="567" w:type="dxa"/>
          </w:tcPr>
          <w:p w:rsidR="008D182D" w:rsidRPr="008D182D" w:rsidRDefault="008D182D" w:rsidP="008D182D">
            <w:pPr>
              <w:autoSpaceDE w:val="0"/>
              <w:autoSpaceDN w:val="0"/>
              <w:adjustRightInd w:val="0"/>
              <w:jc w:val="both"/>
              <w:rPr>
                <w:lang w:val="en-US"/>
              </w:rPr>
            </w:pPr>
            <w:r w:rsidRPr="008D182D">
              <w:rPr>
                <w:lang w:val="en-US"/>
              </w:rPr>
              <w:t>D</w:t>
            </w:r>
          </w:p>
        </w:tc>
        <w:tc>
          <w:tcPr>
            <w:tcW w:w="3674" w:type="dxa"/>
          </w:tcPr>
          <w:p w:rsidR="008D182D" w:rsidRPr="008D182D" w:rsidRDefault="008D182D" w:rsidP="008D182D">
            <w:pPr>
              <w:autoSpaceDE w:val="0"/>
              <w:autoSpaceDN w:val="0"/>
              <w:adjustRightInd w:val="0"/>
              <w:jc w:val="both"/>
            </w:pPr>
            <w:r w:rsidRPr="008D182D">
              <w:t>Цифровая экономика</w:t>
            </w:r>
          </w:p>
        </w:tc>
        <w:tc>
          <w:tcPr>
            <w:tcW w:w="1601" w:type="dxa"/>
          </w:tcPr>
          <w:p w:rsidR="008D182D" w:rsidRPr="008D182D" w:rsidRDefault="008D182D" w:rsidP="008D182D">
            <w:pPr>
              <w:autoSpaceDE w:val="0"/>
              <w:autoSpaceDN w:val="0"/>
              <w:adjustRightInd w:val="0"/>
              <w:jc w:val="both"/>
            </w:pPr>
            <w:r w:rsidRPr="008D182D">
              <w:t>5328,9</w:t>
            </w:r>
          </w:p>
        </w:tc>
        <w:tc>
          <w:tcPr>
            <w:tcW w:w="1601" w:type="dxa"/>
          </w:tcPr>
          <w:p w:rsidR="008D182D" w:rsidRPr="008D182D" w:rsidRDefault="008D182D" w:rsidP="008D182D">
            <w:pPr>
              <w:autoSpaceDE w:val="0"/>
              <w:autoSpaceDN w:val="0"/>
              <w:adjustRightInd w:val="0"/>
              <w:jc w:val="both"/>
            </w:pPr>
          </w:p>
        </w:tc>
        <w:tc>
          <w:tcPr>
            <w:tcW w:w="1601" w:type="dxa"/>
          </w:tcPr>
          <w:p w:rsidR="008D182D" w:rsidRPr="008D182D" w:rsidRDefault="008D182D" w:rsidP="008D182D">
            <w:pPr>
              <w:autoSpaceDE w:val="0"/>
              <w:autoSpaceDN w:val="0"/>
              <w:adjustRightInd w:val="0"/>
              <w:jc w:val="both"/>
            </w:pPr>
            <w:r w:rsidRPr="008D182D">
              <w:t>100,0</w:t>
            </w:r>
          </w:p>
        </w:tc>
      </w:tr>
      <w:tr w:rsidR="008D182D" w:rsidRPr="008D182D" w:rsidTr="00F00E89">
        <w:tc>
          <w:tcPr>
            <w:tcW w:w="562" w:type="dxa"/>
          </w:tcPr>
          <w:p w:rsidR="008D182D" w:rsidRPr="008D182D" w:rsidRDefault="008D182D" w:rsidP="008D182D">
            <w:pPr>
              <w:autoSpaceDE w:val="0"/>
              <w:autoSpaceDN w:val="0"/>
              <w:adjustRightInd w:val="0"/>
              <w:jc w:val="both"/>
            </w:pPr>
            <w:r w:rsidRPr="008D182D">
              <w:t>3.</w:t>
            </w:r>
          </w:p>
        </w:tc>
        <w:tc>
          <w:tcPr>
            <w:tcW w:w="567" w:type="dxa"/>
          </w:tcPr>
          <w:p w:rsidR="008D182D" w:rsidRPr="008D182D" w:rsidRDefault="008D182D" w:rsidP="008D182D">
            <w:pPr>
              <w:autoSpaceDE w:val="0"/>
              <w:autoSpaceDN w:val="0"/>
              <w:adjustRightInd w:val="0"/>
              <w:jc w:val="both"/>
              <w:rPr>
                <w:lang w:val="en-US"/>
              </w:rPr>
            </w:pPr>
            <w:r w:rsidRPr="008D182D">
              <w:rPr>
                <w:lang w:val="en-US"/>
              </w:rPr>
              <w:t>F</w:t>
            </w:r>
          </w:p>
        </w:tc>
        <w:tc>
          <w:tcPr>
            <w:tcW w:w="3674" w:type="dxa"/>
          </w:tcPr>
          <w:p w:rsidR="008D182D" w:rsidRPr="008D182D" w:rsidRDefault="008D182D" w:rsidP="008D182D">
            <w:pPr>
              <w:autoSpaceDE w:val="0"/>
              <w:autoSpaceDN w:val="0"/>
              <w:adjustRightInd w:val="0"/>
              <w:jc w:val="both"/>
            </w:pPr>
            <w:r w:rsidRPr="008D182D">
              <w:t xml:space="preserve">Жилье и городская среда </w:t>
            </w:r>
          </w:p>
        </w:tc>
        <w:tc>
          <w:tcPr>
            <w:tcW w:w="1601" w:type="dxa"/>
          </w:tcPr>
          <w:p w:rsidR="008D182D" w:rsidRPr="008D182D" w:rsidRDefault="008D182D" w:rsidP="008D182D">
            <w:pPr>
              <w:autoSpaceDE w:val="0"/>
              <w:autoSpaceDN w:val="0"/>
              <w:adjustRightInd w:val="0"/>
              <w:jc w:val="both"/>
            </w:pPr>
            <w:r w:rsidRPr="008D182D">
              <w:t>10000,0</w:t>
            </w:r>
          </w:p>
        </w:tc>
        <w:tc>
          <w:tcPr>
            <w:tcW w:w="1601" w:type="dxa"/>
          </w:tcPr>
          <w:p w:rsidR="008D182D" w:rsidRPr="008D182D" w:rsidRDefault="008D182D" w:rsidP="008D182D">
            <w:pPr>
              <w:autoSpaceDE w:val="0"/>
              <w:autoSpaceDN w:val="0"/>
              <w:adjustRightInd w:val="0"/>
              <w:jc w:val="both"/>
            </w:pPr>
          </w:p>
        </w:tc>
        <w:tc>
          <w:tcPr>
            <w:tcW w:w="1601" w:type="dxa"/>
          </w:tcPr>
          <w:p w:rsidR="008D182D" w:rsidRPr="008D182D" w:rsidRDefault="008D182D" w:rsidP="008D182D">
            <w:pPr>
              <w:autoSpaceDE w:val="0"/>
              <w:autoSpaceDN w:val="0"/>
              <w:adjustRightInd w:val="0"/>
              <w:jc w:val="both"/>
            </w:pPr>
            <w:r w:rsidRPr="008D182D">
              <w:t>100,0</w:t>
            </w:r>
          </w:p>
        </w:tc>
      </w:tr>
      <w:tr w:rsidR="008D182D" w:rsidRPr="008D182D" w:rsidTr="00F00E89">
        <w:tc>
          <w:tcPr>
            <w:tcW w:w="562" w:type="dxa"/>
          </w:tcPr>
          <w:p w:rsidR="008D182D" w:rsidRPr="008D182D" w:rsidRDefault="008D182D" w:rsidP="008D182D">
            <w:pPr>
              <w:autoSpaceDE w:val="0"/>
              <w:autoSpaceDN w:val="0"/>
              <w:adjustRightInd w:val="0"/>
              <w:jc w:val="both"/>
            </w:pPr>
            <w:r w:rsidRPr="008D182D">
              <w:t>4.</w:t>
            </w:r>
          </w:p>
        </w:tc>
        <w:tc>
          <w:tcPr>
            <w:tcW w:w="567" w:type="dxa"/>
          </w:tcPr>
          <w:p w:rsidR="008D182D" w:rsidRPr="008D182D" w:rsidRDefault="008D182D" w:rsidP="008D182D">
            <w:pPr>
              <w:autoSpaceDE w:val="0"/>
              <w:autoSpaceDN w:val="0"/>
              <w:adjustRightInd w:val="0"/>
              <w:jc w:val="both"/>
              <w:rPr>
                <w:lang w:val="en-US"/>
              </w:rPr>
            </w:pPr>
            <w:r w:rsidRPr="008D182D">
              <w:rPr>
                <w:lang w:val="en-US"/>
              </w:rPr>
              <w:t>E</w:t>
            </w:r>
          </w:p>
        </w:tc>
        <w:tc>
          <w:tcPr>
            <w:tcW w:w="3674" w:type="dxa"/>
          </w:tcPr>
          <w:p w:rsidR="008D182D" w:rsidRPr="008D182D" w:rsidRDefault="008D182D" w:rsidP="008D182D">
            <w:pPr>
              <w:autoSpaceDE w:val="0"/>
              <w:autoSpaceDN w:val="0"/>
              <w:adjustRightInd w:val="0"/>
              <w:jc w:val="both"/>
            </w:pPr>
            <w:r w:rsidRPr="008D182D">
              <w:t>Образование</w:t>
            </w:r>
          </w:p>
        </w:tc>
        <w:tc>
          <w:tcPr>
            <w:tcW w:w="1601" w:type="dxa"/>
          </w:tcPr>
          <w:p w:rsidR="008D182D" w:rsidRPr="008D182D" w:rsidRDefault="008D182D" w:rsidP="008D182D">
            <w:pPr>
              <w:autoSpaceDE w:val="0"/>
              <w:autoSpaceDN w:val="0"/>
              <w:adjustRightInd w:val="0"/>
              <w:jc w:val="both"/>
            </w:pPr>
            <w:r w:rsidRPr="008D182D">
              <w:t>4505,0</w:t>
            </w:r>
          </w:p>
        </w:tc>
        <w:tc>
          <w:tcPr>
            <w:tcW w:w="1601" w:type="dxa"/>
          </w:tcPr>
          <w:p w:rsidR="008D182D" w:rsidRPr="008D182D" w:rsidRDefault="008D182D" w:rsidP="008D182D">
            <w:pPr>
              <w:autoSpaceDE w:val="0"/>
              <w:autoSpaceDN w:val="0"/>
              <w:adjustRightInd w:val="0"/>
              <w:jc w:val="both"/>
            </w:pPr>
            <w:r w:rsidRPr="008D182D">
              <w:t>5,0</w:t>
            </w:r>
          </w:p>
        </w:tc>
        <w:tc>
          <w:tcPr>
            <w:tcW w:w="1601" w:type="dxa"/>
          </w:tcPr>
          <w:p w:rsidR="008D182D" w:rsidRPr="008D182D" w:rsidRDefault="008D182D" w:rsidP="008D182D">
            <w:pPr>
              <w:autoSpaceDE w:val="0"/>
              <w:autoSpaceDN w:val="0"/>
              <w:adjustRightInd w:val="0"/>
              <w:jc w:val="both"/>
            </w:pPr>
            <w:r w:rsidRPr="008D182D">
              <w:t>99,9</w:t>
            </w:r>
          </w:p>
        </w:tc>
      </w:tr>
      <w:tr w:rsidR="008D182D" w:rsidRPr="008D182D" w:rsidTr="00F00E89">
        <w:tc>
          <w:tcPr>
            <w:tcW w:w="562" w:type="dxa"/>
          </w:tcPr>
          <w:p w:rsidR="008D182D" w:rsidRPr="008D182D" w:rsidRDefault="008D182D" w:rsidP="008D182D">
            <w:pPr>
              <w:autoSpaceDE w:val="0"/>
              <w:autoSpaceDN w:val="0"/>
              <w:adjustRightInd w:val="0"/>
              <w:jc w:val="both"/>
            </w:pPr>
            <w:r w:rsidRPr="008D182D">
              <w:t>5.</w:t>
            </w:r>
          </w:p>
        </w:tc>
        <w:tc>
          <w:tcPr>
            <w:tcW w:w="567" w:type="dxa"/>
          </w:tcPr>
          <w:p w:rsidR="008D182D" w:rsidRPr="008D182D" w:rsidRDefault="008D182D" w:rsidP="008D182D">
            <w:pPr>
              <w:autoSpaceDE w:val="0"/>
              <w:autoSpaceDN w:val="0"/>
              <w:adjustRightInd w:val="0"/>
              <w:jc w:val="both"/>
              <w:rPr>
                <w:lang w:val="en-US"/>
              </w:rPr>
            </w:pPr>
            <w:r w:rsidRPr="008D182D">
              <w:rPr>
                <w:lang w:val="en-US"/>
              </w:rPr>
              <w:t>A</w:t>
            </w:r>
          </w:p>
        </w:tc>
        <w:tc>
          <w:tcPr>
            <w:tcW w:w="3674" w:type="dxa"/>
          </w:tcPr>
          <w:p w:rsidR="008D182D" w:rsidRPr="008D182D" w:rsidRDefault="008D182D" w:rsidP="008D182D">
            <w:pPr>
              <w:autoSpaceDE w:val="0"/>
              <w:autoSpaceDN w:val="0"/>
              <w:adjustRightInd w:val="0"/>
              <w:jc w:val="both"/>
            </w:pPr>
            <w:r w:rsidRPr="008D182D">
              <w:t>Культура</w:t>
            </w:r>
          </w:p>
        </w:tc>
        <w:tc>
          <w:tcPr>
            <w:tcW w:w="1601" w:type="dxa"/>
          </w:tcPr>
          <w:p w:rsidR="008D182D" w:rsidRPr="008D182D" w:rsidRDefault="008D182D" w:rsidP="008D182D">
            <w:pPr>
              <w:autoSpaceDE w:val="0"/>
              <w:autoSpaceDN w:val="0"/>
              <w:adjustRightInd w:val="0"/>
              <w:jc w:val="both"/>
            </w:pPr>
            <w:r w:rsidRPr="008D182D">
              <w:t>784,9</w:t>
            </w:r>
          </w:p>
        </w:tc>
        <w:tc>
          <w:tcPr>
            <w:tcW w:w="1601" w:type="dxa"/>
          </w:tcPr>
          <w:p w:rsidR="008D182D" w:rsidRPr="008D182D" w:rsidRDefault="008D182D" w:rsidP="008D182D">
            <w:pPr>
              <w:autoSpaceDE w:val="0"/>
              <w:autoSpaceDN w:val="0"/>
              <w:adjustRightInd w:val="0"/>
              <w:jc w:val="both"/>
            </w:pPr>
          </w:p>
        </w:tc>
        <w:tc>
          <w:tcPr>
            <w:tcW w:w="1601" w:type="dxa"/>
          </w:tcPr>
          <w:p w:rsidR="008D182D" w:rsidRPr="008D182D" w:rsidRDefault="008D182D" w:rsidP="008D182D">
            <w:pPr>
              <w:autoSpaceDE w:val="0"/>
              <w:autoSpaceDN w:val="0"/>
              <w:adjustRightInd w:val="0"/>
              <w:jc w:val="both"/>
            </w:pPr>
            <w:r w:rsidRPr="008D182D">
              <w:t>100,0</w:t>
            </w:r>
          </w:p>
        </w:tc>
      </w:tr>
    </w:tbl>
    <w:p w:rsidR="008D182D" w:rsidRPr="008D182D" w:rsidRDefault="008D182D" w:rsidP="008D182D">
      <w:pPr>
        <w:autoSpaceDE w:val="0"/>
        <w:autoSpaceDN w:val="0"/>
        <w:adjustRightInd w:val="0"/>
        <w:spacing w:after="0" w:line="240" w:lineRule="auto"/>
        <w:jc w:val="both"/>
        <w:rPr>
          <w:rFonts w:ascii="Times New Roman" w:hAnsi="Times New Roman" w:cs="Times New Roman"/>
        </w:rPr>
      </w:pPr>
    </w:p>
    <w:p w:rsidR="008D182D" w:rsidRPr="008D182D" w:rsidRDefault="008D182D" w:rsidP="008D182D">
      <w:pPr>
        <w:autoSpaceDE w:val="0"/>
        <w:autoSpaceDN w:val="0"/>
        <w:adjustRightInd w:val="0"/>
        <w:spacing w:after="0" w:line="276" w:lineRule="auto"/>
        <w:ind w:firstLine="709"/>
        <w:jc w:val="center"/>
        <w:rPr>
          <w:rFonts w:ascii="Times New Roman" w:eastAsia="Times New Roman" w:hAnsi="Times New Roman" w:cs="Times New Roman"/>
          <w:b/>
          <w:sz w:val="26"/>
          <w:szCs w:val="26"/>
          <w:lang w:eastAsia="ru-RU"/>
        </w:rPr>
      </w:pPr>
    </w:p>
    <w:p w:rsidR="008D182D" w:rsidRPr="008D182D" w:rsidRDefault="008D182D" w:rsidP="008D182D">
      <w:pPr>
        <w:autoSpaceDE w:val="0"/>
        <w:autoSpaceDN w:val="0"/>
        <w:adjustRightInd w:val="0"/>
        <w:spacing w:after="0" w:line="276" w:lineRule="auto"/>
        <w:ind w:firstLine="709"/>
        <w:jc w:val="center"/>
        <w:rPr>
          <w:rFonts w:ascii="Times New Roman" w:eastAsia="Times New Roman" w:hAnsi="Times New Roman" w:cs="Times New Roman"/>
          <w:b/>
          <w:sz w:val="26"/>
          <w:szCs w:val="26"/>
          <w:lang w:eastAsia="ru-RU"/>
        </w:rPr>
      </w:pPr>
    </w:p>
    <w:p w:rsidR="008D182D" w:rsidRPr="008D182D" w:rsidRDefault="008D182D" w:rsidP="008D182D">
      <w:pPr>
        <w:autoSpaceDE w:val="0"/>
        <w:autoSpaceDN w:val="0"/>
        <w:adjustRightInd w:val="0"/>
        <w:spacing w:after="0" w:line="276" w:lineRule="auto"/>
        <w:ind w:firstLine="709"/>
        <w:jc w:val="center"/>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Исполнение муниципальных программ</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В районном бюджете на 2021 год предусматривались бюджетные ассигнования на реализацию 15 муниципальных программ на общую сумму 1120908,1 тыс. рублей. Расходы на реализацию муниципальных программ в 2021 году составили 1088011,9 тыс. рублей или 97,0% от уточненных бюджетных назначений.</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lastRenderedPageBreak/>
        <w:t>В отчетном году по сравнению с 2020 годом доля программных расходов в общем объеме расходов районного бюджета увеличилась на 0,4 процентных пункта и составила 84,2%.</w:t>
      </w:r>
    </w:p>
    <w:p w:rsidR="008D182D" w:rsidRPr="008D182D" w:rsidRDefault="008D182D" w:rsidP="008D182D">
      <w:pPr>
        <w:spacing w:after="0" w:line="240" w:lineRule="auto"/>
        <w:ind w:firstLine="708"/>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Исполнение муниципальных программ представлено в таблице</w:t>
      </w:r>
    </w:p>
    <w:p w:rsidR="008D182D" w:rsidRPr="008D182D" w:rsidRDefault="008D182D" w:rsidP="008D182D">
      <w:pPr>
        <w:spacing w:after="0" w:line="240" w:lineRule="auto"/>
        <w:ind w:firstLine="708"/>
        <w:jc w:val="both"/>
        <w:rPr>
          <w:rFonts w:ascii="Times New Roman" w:eastAsia="Times New Roman" w:hAnsi="Times New Roman" w:cs="Times New Roman"/>
          <w:sz w:val="28"/>
          <w:szCs w:val="28"/>
          <w:lang w:eastAsia="ru-RU"/>
        </w:rPr>
      </w:pPr>
    </w:p>
    <w:p w:rsidR="008D182D" w:rsidRPr="008D182D" w:rsidRDefault="008D182D" w:rsidP="008D182D">
      <w:pPr>
        <w:spacing w:after="0" w:line="240" w:lineRule="auto"/>
        <w:ind w:left="7079" w:firstLine="709"/>
        <w:jc w:val="right"/>
        <w:rPr>
          <w:rFonts w:ascii="Times New Roman" w:eastAsia="Calibri" w:hAnsi="Times New Roman" w:cs="Times New Roman"/>
        </w:rPr>
      </w:pPr>
      <w:r w:rsidRPr="008D182D">
        <w:rPr>
          <w:rFonts w:ascii="Times New Roman" w:eastAsia="Calibri" w:hAnsi="Times New Roman" w:cs="Times New Roman"/>
        </w:rPr>
        <w:t xml:space="preserve">(тыс.рублей) </w:t>
      </w:r>
    </w:p>
    <w:tbl>
      <w:tblPr>
        <w:tblW w:w="9683" w:type="dxa"/>
        <w:tblInd w:w="93" w:type="dxa"/>
        <w:tblLayout w:type="fixed"/>
        <w:tblLook w:val="04A0" w:firstRow="1" w:lastRow="0" w:firstColumn="1" w:lastColumn="0" w:noHBand="0" w:noVBand="1"/>
      </w:tblPr>
      <w:tblGrid>
        <w:gridCol w:w="4071"/>
        <w:gridCol w:w="1643"/>
        <w:gridCol w:w="1701"/>
        <w:gridCol w:w="2268"/>
      </w:tblGrid>
      <w:tr w:rsidR="008D182D" w:rsidRPr="008D182D" w:rsidTr="00F00E89">
        <w:trPr>
          <w:trHeight w:val="2607"/>
          <w:tblHeader/>
        </w:trPr>
        <w:tc>
          <w:tcPr>
            <w:tcW w:w="4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Наименование муниципальной программы </w:t>
            </w:r>
          </w:p>
          <w:p w:rsidR="008D182D" w:rsidRPr="008D182D" w:rsidRDefault="008D182D" w:rsidP="008D182D">
            <w:pPr>
              <w:spacing w:after="0" w:line="240" w:lineRule="auto"/>
              <w:jc w:val="center"/>
              <w:rPr>
                <w:rFonts w:ascii="Times New Roman" w:eastAsia="Times New Roman" w:hAnsi="Times New Roman" w:cs="Times New Roman"/>
                <w:lang w:eastAsia="ru-RU"/>
              </w:rPr>
            </w:pP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Бюджет 2021г</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Отчет 2021г.</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 исполнения  </w:t>
            </w:r>
          </w:p>
        </w:tc>
      </w:tr>
      <w:tr w:rsidR="008D182D" w:rsidRPr="008D182D" w:rsidTr="00F00E89">
        <w:trPr>
          <w:trHeight w:val="576"/>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«Развитие образования Балахтинского района»</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667717,9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652996,0</w:t>
            </w:r>
          </w:p>
        </w:tc>
        <w:tc>
          <w:tcPr>
            <w:tcW w:w="2268" w:type="dxa"/>
            <w:tcBorders>
              <w:top w:val="single" w:sz="4" w:space="0" w:color="auto"/>
              <w:left w:val="nil"/>
              <w:bottom w:val="single" w:sz="4" w:space="0" w:color="auto"/>
              <w:right w:val="single" w:sz="4" w:space="0" w:color="auto"/>
            </w:tcBorders>
            <w:shd w:val="clear" w:color="auto" w:fill="auto"/>
          </w:tcPr>
          <w:p w:rsidR="008D182D" w:rsidRPr="008D182D" w:rsidRDefault="008D182D" w:rsidP="008D182D">
            <w:pPr>
              <w:spacing w:after="0" w:line="240" w:lineRule="auto"/>
              <w:jc w:val="center"/>
              <w:rPr>
                <w:rFonts w:ascii="Times New Roman" w:eastAsia="Times New Roman" w:hAnsi="Times New Roman" w:cs="Times New Roman"/>
                <w:lang w:eastAsia="ru-RU"/>
              </w:rPr>
            </w:pP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97,7</w:t>
            </w:r>
          </w:p>
        </w:tc>
      </w:tr>
      <w:tr w:rsidR="008D182D" w:rsidRPr="008D182D" w:rsidTr="00F00E89">
        <w:trPr>
          <w:trHeight w:val="576"/>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«Защита населения и территории Балахтинского района от чрезвычайных ситуаций природного и техногенного характера»</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3367,8</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3367,8</w:t>
            </w:r>
          </w:p>
        </w:tc>
        <w:tc>
          <w:tcPr>
            <w:tcW w:w="2268" w:type="dxa"/>
            <w:tcBorders>
              <w:top w:val="single" w:sz="4" w:space="0" w:color="auto"/>
              <w:left w:val="nil"/>
              <w:bottom w:val="single" w:sz="4" w:space="0" w:color="auto"/>
              <w:right w:val="single" w:sz="4" w:space="0" w:color="auto"/>
            </w:tcBorders>
            <w:shd w:val="clear" w:color="auto" w:fill="auto"/>
          </w:tcPr>
          <w:p w:rsidR="008D182D" w:rsidRPr="008D182D" w:rsidRDefault="008D182D" w:rsidP="008D182D">
            <w:pPr>
              <w:spacing w:after="0" w:line="240" w:lineRule="auto"/>
              <w:jc w:val="center"/>
              <w:rPr>
                <w:rFonts w:ascii="Times New Roman" w:eastAsia="Times New Roman" w:hAnsi="Times New Roman" w:cs="Times New Roman"/>
                <w:lang w:eastAsia="ru-RU"/>
              </w:rPr>
            </w:pPr>
          </w:p>
          <w:p w:rsidR="008D182D" w:rsidRPr="008D182D" w:rsidRDefault="008D182D" w:rsidP="008D182D">
            <w:pPr>
              <w:spacing w:after="0" w:line="240" w:lineRule="auto"/>
              <w:jc w:val="center"/>
              <w:rPr>
                <w:rFonts w:ascii="Times New Roman" w:eastAsia="Times New Roman" w:hAnsi="Times New Roman" w:cs="Times New Roman"/>
                <w:lang w:eastAsia="ru-RU"/>
              </w:rPr>
            </w:pPr>
          </w:p>
          <w:p w:rsidR="008D182D" w:rsidRPr="008D182D" w:rsidRDefault="008D182D" w:rsidP="008D182D">
            <w:pPr>
              <w:spacing w:after="0" w:line="240" w:lineRule="auto"/>
              <w:jc w:val="center"/>
              <w:rPr>
                <w:rFonts w:ascii="Times New Roman" w:eastAsia="Times New Roman" w:hAnsi="Times New Roman" w:cs="Times New Roman"/>
                <w:lang w:eastAsia="ru-RU"/>
              </w:rPr>
            </w:pPr>
          </w:p>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439"/>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«Развитие культуры»</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142166,5</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141762,5</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99,7</w:t>
            </w:r>
          </w:p>
        </w:tc>
      </w:tr>
      <w:tr w:rsidR="008D182D" w:rsidRPr="008D182D" w:rsidTr="00F00E89">
        <w:trPr>
          <w:trHeight w:val="528"/>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«Укрепление общественного здоровья на территории Балахтинского района»</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42301,2</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25301,2</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59,8</w:t>
            </w:r>
          </w:p>
        </w:tc>
      </w:tr>
      <w:tr w:rsidR="008D182D" w:rsidRPr="008D182D" w:rsidTr="00F00E89">
        <w:trPr>
          <w:trHeight w:val="518"/>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«Молодежь Балахтинского района в ХХ! веке»</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7825,3</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7825,3</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777"/>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«Развитие сельского хозяйства и регулирование рынков сельскохозяйственной продукции, сырья и продовольствия в Балахтинском районе»</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5038,6</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4701,8</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93,3</w:t>
            </w:r>
          </w:p>
        </w:tc>
      </w:tr>
      <w:tr w:rsidR="008D182D" w:rsidRPr="008D182D" w:rsidTr="00F00E89">
        <w:trPr>
          <w:trHeight w:val="616"/>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«Управление муниципальной собственностью Балахтинского района» </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2743,7</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2637,4</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96,1</w:t>
            </w:r>
          </w:p>
        </w:tc>
      </w:tr>
      <w:tr w:rsidR="008D182D" w:rsidRPr="008D182D" w:rsidTr="00F00E89">
        <w:trPr>
          <w:trHeight w:val="1082"/>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«Реформирование и модернизация  жилищно-коммунального хозяйства и повышение энергетической эффективности» </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34482,7</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30536,7</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88,6</w:t>
            </w:r>
          </w:p>
        </w:tc>
      </w:tr>
      <w:tr w:rsidR="008D182D" w:rsidRPr="008D182D" w:rsidTr="00F00E89">
        <w:trPr>
          <w:trHeight w:val="473"/>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«Поддержка транспортной отрасли Балахтинского района»</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52126,0</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52125,4</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863"/>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xml:space="preserve">«Поддержка и развитие субъектов малого и среднего предпринимательства в Балахтинском районе» </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350,0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350,0</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790"/>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«Создание условий для обеспечения доступным и комфортным жильем граждан Балахтинского района»</w:t>
            </w:r>
          </w:p>
        </w:tc>
        <w:tc>
          <w:tcPr>
            <w:tcW w:w="1643" w:type="dxa"/>
            <w:tcBorders>
              <w:top w:val="single" w:sz="4" w:space="0" w:color="auto"/>
              <w:left w:val="nil"/>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15165,9</w:t>
            </w:r>
          </w:p>
        </w:tc>
        <w:tc>
          <w:tcPr>
            <w:tcW w:w="1701" w:type="dxa"/>
            <w:tcBorders>
              <w:top w:val="single" w:sz="4" w:space="0" w:color="auto"/>
              <w:left w:val="nil"/>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11003,0</w:t>
            </w:r>
          </w:p>
        </w:tc>
        <w:tc>
          <w:tcPr>
            <w:tcW w:w="2268" w:type="dxa"/>
            <w:tcBorders>
              <w:top w:val="single" w:sz="4" w:space="0" w:color="auto"/>
              <w:left w:val="nil"/>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72,5</w:t>
            </w:r>
          </w:p>
        </w:tc>
      </w:tr>
      <w:tr w:rsidR="008D182D" w:rsidRPr="008D182D" w:rsidTr="00F00E89">
        <w:trPr>
          <w:trHeight w:val="552"/>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«Управление муниципальными финансами»</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154945,3</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154902,3</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99,9</w:t>
            </w:r>
          </w:p>
        </w:tc>
      </w:tr>
      <w:tr w:rsidR="008D182D" w:rsidRPr="008D182D" w:rsidTr="00F00E89">
        <w:trPr>
          <w:trHeight w:val="777"/>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«Профилактика правонарушений . терроризма и экстремизма на территории Балахтинского района»</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552"/>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 Мы-Вместе»</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221,9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221,9</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552"/>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lang w:eastAsia="ru-RU"/>
              </w:rPr>
            </w:pPr>
            <w:r w:rsidRPr="008D182D">
              <w:rPr>
                <w:rFonts w:ascii="Times New Roman" w:eastAsia="Times New Roman" w:hAnsi="Times New Roman" w:cs="Times New Roman"/>
                <w:lang w:eastAsia="ru-RU"/>
              </w:rPr>
              <w:lastRenderedPageBreak/>
              <w:t>« Вместе»</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270,6</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270,6</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lang w:eastAsia="ru-RU"/>
              </w:rPr>
            </w:pPr>
            <w:r w:rsidRPr="008D182D">
              <w:rPr>
                <w:rFonts w:ascii="Times New Roman" w:eastAsia="Times New Roman" w:hAnsi="Times New Roman" w:cs="Times New Roman"/>
                <w:lang w:eastAsia="ru-RU"/>
              </w:rPr>
              <w:t>100,0</w:t>
            </w:r>
          </w:p>
        </w:tc>
      </w:tr>
      <w:tr w:rsidR="008D182D" w:rsidRPr="008D182D" w:rsidTr="00F00E89">
        <w:trPr>
          <w:trHeight w:val="308"/>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 xml:space="preserve">Всего </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1120908,1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1088011,9</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97,0</w:t>
            </w:r>
          </w:p>
        </w:tc>
      </w:tr>
      <w:tr w:rsidR="008D182D" w:rsidRPr="008D182D" w:rsidTr="00F00E89">
        <w:trPr>
          <w:trHeight w:val="308"/>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Непрограммные расходы</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209621,8</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199555,2</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center"/>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95,1</w:t>
            </w:r>
          </w:p>
        </w:tc>
      </w:tr>
      <w:tr w:rsidR="008D182D" w:rsidRPr="008D182D" w:rsidTr="00F00E89">
        <w:trPr>
          <w:trHeight w:val="308"/>
        </w:trPr>
        <w:tc>
          <w:tcPr>
            <w:tcW w:w="4071" w:type="dxa"/>
            <w:tcBorders>
              <w:top w:val="single" w:sz="4" w:space="0" w:color="auto"/>
              <w:left w:val="single" w:sz="4" w:space="0" w:color="auto"/>
              <w:bottom w:val="single" w:sz="4" w:space="0" w:color="auto"/>
              <w:right w:val="single" w:sz="4" w:space="0" w:color="auto"/>
            </w:tcBorders>
            <w:shd w:val="clear" w:color="auto" w:fill="auto"/>
            <w:vAlign w:val="bottom"/>
          </w:tcPr>
          <w:p w:rsidR="008D182D" w:rsidRPr="008D182D" w:rsidRDefault="008D182D" w:rsidP="008D182D">
            <w:pPr>
              <w:spacing w:after="0" w:line="240" w:lineRule="auto"/>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Доля программных расходов</w:t>
            </w:r>
          </w:p>
        </w:tc>
        <w:tc>
          <w:tcPr>
            <w:tcW w:w="1643"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84,2</w:t>
            </w:r>
          </w:p>
        </w:tc>
        <w:tc>
          <w:tcPr>
            <w:tcW w:w="1701"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r w:rsidRPr="008D182D">
              <w:rPr>
                <w:rFonts w:ascii="Times New Roman" w:eastAsia="Times New Roman" w:hAnsi="Times New Roman" w:cs="Times New Roman"/>
                <w:bCs/>
                <w:lang w:eastAsia="ru-RU"/>
              </w:rPr>
              <w:t>84,5</w:t>
            </w:r>
          </w:p>
        </w:tc>
        <w:tc>
          <w:tcPr>
            <w:tcW w:w="2268" w:type="dxa"/>
            <w:tcBorders>
              <w:top w:val="single" w:sz="4" w:space="0" w:color="auto"/>
              <w:left w:val="nil"/>
              <w:bottom w:val="single" w:sz="4" w:space="0" w:color="auto"/>
              <w:right w:val="single" w:sz="4" w:space="0" w:color="auto"/>
            </w:tcBorders>
            <w:shd w:val="clear" w:color="auto" w:fill="auto"/>
            <w:vAlign w:val="bottom"/>
          </w:tcPr>
          <w:p w:rsidR="008D182D" w:rsidRPr="008D182D" w:rsidRDefault="008D182D" w:rsidP="008D182D">
            <w:pPr>
              <w:spacing w:after="0" w:line="240" w:lineRule="auto"/>
              <w:jc w:val="right"/>
              <w:rPr>
                <w:rFonts w:ascii="Times New Roman" w:eastAsia="Times New Roman" w:hAnsi="Times New Roman" w:cs="Times New Roman"/>
                <w:bCs/>
                <w:lang w:eastAsia="ru-RU"/>
              </w:rPr>
            </w:pPr>
          </w:p>
        </w:tc>
      </w:tr>
    </w:tbl>
    <w:p w:rsidR="008D182D" w:rsidRPr="008D182D" w:rsidRDefault="008D182D" w:rsidP="008D182D">
      <w:pPr>
        <w:tabs>
          <w:tab w:val="left" w:pos="6300"/>
        </w:tabs>
        <w:spacing w:after="0" w:line="240" w:lineRule="auto"/>
        <w:ind w:right="256" w:firstLine="540"/>
        <w:jc w:val="both"/>
        <w:rPr>
          <w:rFonts w:ascii="Times New Roman" w:eastAsia="Times New Roman" w:hAnsi="Times New Roman" w:cs="Times New Roman"/>
          <w:color w:val="FF0000"/>
          <w:lang w:eastAsia="ru-RU"/>
        </w:rPr>
      </w:pPr>
    </w:p>
    <w:p w:rsidR="008D182D" w:rsidRPr="008D182D" w:rsidRDefault="008D182D" w:rsidP="008D182D">
      <w:pPr>
        <w:tabs>
          <w:tab w:val="left" w:pos="6300"/>
        </w:tabs>
        <w:spacing w:after="0" w:line="240" w:lineRule="auto"/>
        <w:ind w:right="256" w:firstLine="540"/>
        <w:jc w:val="both"/>
        <w:rPr>
          <w:rFonts w:ascii="Times New Roman" w:eastAsia="Times New Roman" w:hAnsi="Times New Roman" w:cs="Times New Roman"/>
          <w:color w:val="FF0000"/>
          <w:lang w:eastAsia="ru-RU"/>
        </w:rPr>
      </w:pP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Calibri" w:hAnsi="Times New Roman" w:cs="Times New Roman"/>
          <w:sz w:val="28"/>
          <w:szCs w:val="28"/>
          <w:lang w:eastAsia="ru-RU"/>
        </w:rPr>
        <w:t xml:space="preserve">     </w:t>
      </w:r>
      <w:r w:rsidRPr="008D182D">
        <w:rPr>
          <w:rFonts w:ascii="Times New Roman" w:eastAsia="Calibri" w:hAnsi="Times New Roman" w:cs="Times New Roman"/>
          <w:sz w:val="26"/>
          <w:szCs w:val="26"/>
          <w:lang w:eastAsia="ru-RU"/>
        </w:rPr>
        <w:t xml:space="preserve">Анализируя, данные таблицы отмечается высокий процент выполнения по всем муниципальным программам (от 97,7% до 100,0%), за исключением муниципальной программы </w:t>
      </w:r>
      <w:r w:rsidRPr="008D182D">
        <w:rPr>
          <w:rFonts w:ascii="Times New Roman" w:eastAsia="Times New Roman" w:hAnsi="Times New Roman" w:cs="Times New Roman"/>
          <w:sz w:val="26"/>
          <w:szCs w:val="26"/>
          <w:lang w:eastAsia="ru-RU"/>
        </w:rPr>
        <w:t>«Укрепление общественного здоровья на территории Балахтинского района»-59,8%.</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Непрограммные расходы составили 199555,2 тыс. рублей или 95,1% от уточненных бюджетных назначений.</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В отчетном году по сравнению с 2020 годом доля непрограммных расходов в общем объеме расходов районного бюджета уменьшилась на 0,7 процентных пункта и составила 15,5%.</w:t>
      </w:r>
    </w:p>
    <w:p w:rsidR="008D182D" w:rsidRPr="008D182D" w:rsidRDefault="008D182D" w:rsidP="008D182D">
      <w:pPr>
        <w:spacing w:line="23" w:lineRule="atLeast"/>
        <w:ind w:firstLine="720"/>
        <w:jc w:val="both"/>
        <w:rPr>
          <w:rFonts w:ascii="Times New Roman" w:eastAsia="Calibri" w:hAnsi="Times New Roman" w:cs="Times New Roman"/>
          <w:sz w:val="26"/>
          <w:szCs w:val="26"/>
        </w:rPr>
      </w:pPr>
      <w:r w:rsidRPr="008D182D">
        <w:rPr>
          <w:rFonts w:ascii="Times New Roman" w:eastAsia="Calibri" w:hAnsi="Times New Roman" w:cs="Times New Roman"/>
          <w:sz w:val="26"/>
          <w:szCs w:val="26"/>
        </w:rPr>
        <w:t>Сведения об исполнении расходов по видам расходов представлены в следующей таблице.</w:t>
      </w:r>
      <w:r w:rsidRPr="008D182D">
        <w:rPr>
          <w:rFonts w:ascii="Times New Roman" w:eastAsia="Calibri" w:hAnsi="Times New Roman" w:cs="Times New Roman"/>
          <w:sz w:val="26"/>
          <w:szCs w:val="26"/>
        </w:rPr>
        <w:tab/>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7"/>
        <w:gridCol w:w="681"/>
        <w:gridCol w:w="1351"/>
        <w:gridCol w:w="1276"/>
        <w:gridCol w:w="1185"/>
        <w:gridCol w:w="1497"/>
      </w:tblGrid>
      <w:tr w:rsidR="008D182D" w:rsidRPr="008D182D" w:rsidTr="00F00E89">
        <w:trPr>
          <w:trHeight w:val="1519"/>
        </w:trPr>
        <w:tc>
          <w:tcPr>
            <w:tcW w:w="3917" w:type="dxa"/>
            <w:shd w:val="clear" w:color="auto" w:fill="D9D9D9" w:themeFill="background1" w:themeFillShade="D9"/>
            <w:vAlign w:val="center"/>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Показатели</w:t>
            </w:r>
          </w:p>
        </w:tc>
        <w:tc>
          <w:tcPr>
            <w:tcW w:w="681" w:type="dxa"/>
            <w:shd w:val="clear" w:color="auto" w:fill="D9D9D9" w:themeFill="background1" w:themeFillShade="D9"/>
            <w:vAlign w:val="center"/>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КВР</w:t>
            </w:r>
          </w:p>
        </w:tc>
        <w:tc>
          <w:tcPr>
            <w:tcW w:w="1351" w:type="dxa"/>
            <w:shd w:val="clear" w:color="auto" w:fill="D9D9D9" w:themeFill="background1" w:themeFillShade="D9"/>
          </w:tcPr>
          <w:p w:rsidR="008D182D" w:rsidRPr="008D182D" w:rsidRDefault="008D182D" w:rsidP="008D182D">
            <w:pPr>
              <w:jc w:val="center"/>
              <w:rPr>
                <w:rFonts w:ascii="Times New Roman" w:hAnsi="Times New Roman" w:cs="Times New Roman"/>
                <w:b/>
                <w:color w:val="000000"/>
              </w:rPr>
            </w:pPr>
            <w:r w:rsidRPr="008D182D">
              <w:rPr>
                <w:rFonts w:ascii="Times New Roman" w:hAnsi="Times New Roman" w:cs="Times New Roman"/>
                <w:b/>
                <w:bCs/>
              </w:rPr>
              <w:t>Уточненные бюджетные ассигнования по бюджетной росписи         (тыс. руб.)</w:t>
            </w:r>
          </w:p>
        </w:tc>
        <w:tc>
          <w:tcPr>
            <w:tcW w:w="1276" w:type="dxa"/>
            <w:shd w:val="clear" w:color="auto" w:fill="D9D9D9" w:themeFill="background1" w:themeFillShade="D9"/>
          </w:tcPr>
          <w:p w:rsidR="008D182D" w:rsidRPr="008D182D" w:rsidRDefault="008D182D" w:rsidP="008D182D">
            <w:pPr>
              <w:jc w:val="center"/>
              <w:rPr>
                <w:rFonts w:ascii="Times New Roman" w:hAnsi="Times New Roman" w:cs="Times New Roman"/>
                <w:b/>
                <w:color w:val="000000"/>
              </w:rPr>
            </w:pPr>
            <w:r w:rsidRPr="008D182D">
              <w:rPr>
                <w:rFonts w:ascii="Times New Roman" w:hAnsi="Times New Roman" w:cs="Times New Roman"/>
                <w:b/>
                <w:bCs/>
              </w:rPr>
              <w:t>Исполнено                по отчету об исполнении бюджета                                 (тыс. руб.)</w:t>
            </w:r>
          </w:p>
        </w:tc>
        <w:tc>
          <w:tcPr>
            <w:tcW w:w="1185" w:type="dxa"/>
            <w:shd w:val="clear" w:color="auto" w:fill="D9D9D9" w:themeFill="background1" w:themeFillShade="D9"/>
            <w:vAlign w:val="center"/>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Испол. в (%)</w:t>
            </w:r>
          </w:p>
        </w:tc>
        <w:tc>
          <w:tcPr>
            <w:tcW w:w="1497" w:type="dxa"/>
            <w:shd w:val="clear" w:color="auto" w:fill="D9D9D9" w:themeFill="background1" w:themeFillShade="D9"/>
            <w:vAlign w:val="center"/>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Структура,</w:t>
            </w:r>
          </w:p>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 xml:space="preserve">% </w:t>
            </w:r>
          </w:p>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к общему итогу</w:t>
            </w:r>
          </w:p>
        </w:tc>
      </w:tr>
      <w:tr w:rsidR="008D182D" w:rsidRPr="008D182D" w:rsidTr="00F00E89">
        <w:trPr>
          <w:trHeight w:val="435"/>
        </w:trPr>
        <w:tc>
          <w:tcPr>
            <w:tcW w:w="3917"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 xml:space="preserve">А </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Б</w:t>
            </w:r>
          </w:p>
        </w:tc>
        <w:tc>
          <w:tcPr>
            <w:tcW w:w="1351" w:type="dxa"/>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1</w:t>
            </w:r>
          </w:p>
        </w:tc>
        <w:tc>
          <w:tcPr>
            <w:tcW w:w="1276" w:type="dxa"/>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2</w:t>
            </w:r>
          </w:p>
        </w:tc>
        <w:tc>
          <w:tcPr>
            <w:tcW w:w="1185"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3</w:t>
            </w:r>
          </w:p>
        </w:tc>
        <w:tc>
          <w:tcPr>
            <w:tcW w:w="1497"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b/>
                <w:color w:val="000000"/>
              </w:rPr>
            </w:pPr>
            <w:r w:rsidRPr="008D182D">
              <w:rPr>
                <w:rFonts w:ascii="Times New Roman" w:hAnsi="Times New Roman" w:cs="Times New Roman"/>
                <w:b/>
                <w:color w:val="000000"/>
              </w:rPr>
              <w:t>4</w:t>
            </w:r>
          </w:p>
        </w:tc>
      </w:tr>
      <w:tr w:rsidR="008D182D" w:rsidRPr="008D182D" w:rsidTr="00F00E89">
        <w:trPr>
          <w:trHeight w:val="1291"/>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Расходы на выплаты персоналу в целях обеспечения выполнения функций мун. органами, казенными учреж., органами управления гос. внебюджетными. фондами</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100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118459,7</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117439,1</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99,1</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9,1</w:t>
            </w:r>
          </w:p>
        </w:tc>
      </w:tr>
      <w:tr w:rsidR="008D182D" w:rsidRPr="008D182D" w:rsidTr="00F00E89">
        <w:trPr>
          <w:trHeight w:val="559"/>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Закупка товаров, работ и услуг для обеспечения муниципальных нужд</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200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78003,7</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70823,8</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90,8</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5,5</w:t>
            </w:r>
          </w:p>
        </w:tc>
      </w:tr>
      <w:tr w:rsidR="008D182D" w:rsidRPr="008D182D" w:rsidTr="00F00E89">
        <w:trPr>
          <w:trHeight w:val="423"/>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Социальное обеспечение и иные выплаты населению</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300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6078,8</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5770,3</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94,9</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0,4</w:t>
            </w:r>
          </w:p>
        </w:tc>
      </w:tr>
      <w:tr w:rsidR="008D182D" w:rsidRPr="008D182D" w:rsidTr="00F00E89">
        <w:trPr>
          <w:trHeight w:val="967"/>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lastRenderedPageBreak/>
              <w:t>Капитальные вложения в объекты государственной (муниципальной) собственности</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400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12087,3</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2288,7</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18,9</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0,1</w:t>
            </w:r>
          </w:p>
        </w:tc>
      </w:tr>
      <w:tr w:rsidR="008D182D" w:rsidRPr="008D182D" w:rsidTr="00F00E89">
        <w:trPr>
          <w:trHeight w:val="435"/>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Межбюджетные трансферты</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500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258936,8</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258719,6</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99,9</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20,0</w:t>
            </w:r>
          </w:p>
        </w:tc>
      </w:tr>
      <w:tr w:rsidR="008D182D" w:rsidRPr="008D182D" w:rsidTr="00F00E89">
        <w:trPr>
          <w:trHeight w:val="967"/>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600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777885,9</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757400,7</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97,4</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58,8</w:t>
            </w:r>
          </w:p>
        </w:tc>
      </w:tr>
      <w:tr w:rsidR="008D182D" w:rsidRPr="008D182D" w:rsidTr="00F00E89">
        <w:trPr>
          <w:trHeight w:val="451"/>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Обслуживание муниципального долга</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700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1,6</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1,6</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100,0</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p>
        </w:tc>
      </w:tr>
      <w:tr w:rsidR="008D182D" w:rsidRPr="008D182D" w:rsidTr="00F00E89">
        <w:trPr>
          <w:trHeight w:val="435"/>
        </w:trPr>
        <w:tc>
          <w:tcPr>
            <w:tcW w:w="3917" w:type="dxa"/>
            <w:shd w:val="clear" w:color="auto" w:fill="auto"/>
          </w:tcPr>
          <w:p w:rsidR="008D182D" w:rsidRPr="008D182D" w:rsidRDefault="008D182D" w:rsidP="008D182D">
            <w:pPr>
              <w:rPr>
                <w:rFonts w:ascii="Times New Roman" w:hAnsi="Times New Roman" w:cs="Times New Roman"/>
              </w:rPr>
            </w:pPr>
            <w:r w:rsidRPr="008D182D">
              <w:rPr>
                <w:rFonts w:ascii="Times New Roman" w:hAnsi="Times New Roman" w:cs="Times New Roman"/>
              </w:rPr>
              <w:t>Иные бюджетные ассигнования</w:t>
            </w:r>
          </w:p>
        </w:tc>
        <w:tc>
          <w:tcPr>
            <w:tcW w:w="681" w:type="dxa"/>
            <w:shd w:val="clear" w:color="auto" w:fill="auto"/>
          </w:tcPr>
          <w:p w:rsidR="008D182D" w:rsidRPr="008D182D" w:rsidRDefault="008D182D" w:rsidP="008D182D">
            <w:pPr>
              <w:widowControl w:val="0"/>
              <w:tabs>
                <w:tab w:val="left" w:pos="709"/>
              </w:tabs>
              <w:spacing w:line="276" w:lineRule="auto"/>
              <w:jc w:val="center"/>
              <w:rPr>
                <w:rFonts w:ascii="Times New Roman" w:hAnsi="Times New Roman" w:cs="Times New Roman"/>
              </w:rPr>
            </w:pPr>
            <w:r w:rsidRPr="008D182D">
              <w:rPr>
                <w:rFonts w:ascii="Times New Roman" w:hAnsi="Times New Roman" w:cs="Times New Roman"/>
              </w:rPr>
              <w:t>800</w:t>
            </w:r>
          </w:p>
        </w:tc>
        <w:tc>
          <w:tcPr>
            <w:tcW w:w="1351"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79076,1</w:t>
            </w:r>
          </w:p>
        </w:tc>
        <w:tc>
          <w:tcPr>
            <w:tcW w:w="1276" w:type="dxa"/>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75123,3</w:t>
            </w:r>
          </w:p>
        </w:tc>
        <w:tc>
          <w:tcPr>
            <w:tcW w:w="1185"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95,0</w:t>
            </w:r>
          </w:p>
        </w:tc>
        <w:tc>
          <w:tcPr>
            <w:tcW w:w="1497" w:type="dxa"/>
            <w:shd w:val="clear" w:color="auto" w:fill="auto"/>
          </w:tcPr>
          <w:p w:rsidR="008D182D" w:rsidRPr="008D182D" w:rsidRDefault="008D182D" w:rsidP="008D182D">
            <w:pPr>
              <w:widowControl w:val="0"/>
              <w:tabs>
                <w:tab w:val="left" w:pos="709"/>
              </w:tabs>
              <w:spacing w:line="276" w:lineRule="auto"/>
              <w:jc w:val="right"/>
              <w:rPr>
                <w:rFonts w:ascii="Times New Roman" w:hAnsi="Times New Roman" w:cs="Times New Roman"/>
              </w:rPr>
            </w:pPr>
            <w:r w:rsidRPr="008D182D">
              <w:rPr>
                <w:rFonts w:ascii="Times New Roman" w:hAnsi="Times New Roman" w:cs="Times New Roman"/>
              </w:rPr>
              <w:t>5,8</w:t>
            </w:r>
          </w:p>
        </w:tc>
      </w:tr>
      <w:tr w:rsidR="008D182D" w:rsidRPr="008D182D" w:rsidTr="00F00E89">
        <w:trPr>
          <w:trHeight w:val="419"/>
        </w:trPr>
        <w:tc>
          <w:tcPr>
            <w:tcW w:w="3917" w:type="dxa"/>
            <w:shd w:val="clear" w:color="auto" w:fill="auto"/>
            <w:vAlign w:val="center"/>
          </w:tcPr>
          <w:p w:rsidR="008D182D" w:rsidRPr="008D182D" w:rsidRDefault="008D182D" w:rsidP="008D182D">
            <w:pPr>
              <w:jc w:val="right"/>
              <w:rPr>
                <w:rFonts w:ascii="Times New Roman" w:hAnsi="Times New Roman" w:cs="Times New Roman"/>
                <w:b/>
              </w:rPr>
            </w:pPr>
            <w:r w:rsidRPr="008D182D">
              <w:rPr>
                <w:rFonts w:ascii="Times New Roman" w:hAnsi="Times New Roman" w:cs="Times New Roman"/>
                <w:b/>
              </w:rPr>
              <w:t>Общий итог</w:t>
            </w:r>
          </w:p>
        </w:tc>
        <w:tc>
          <w:tcPr>
            <w:tcW w:w="681" w:type="dxa"/>
            <w:shd w:val="clear" w:color="auto" w:fill="auto"/>
            <w:vAlign w:val="center"/>
          </w:tcPr>
          <w:p w:rsidR="008D182D" w:rsidRPr="008D182D" w:rsidRDefault="008D182D" w:rsidP="008D182D">
            <w:pPr>
              <w:jc w:val="right"/>
              <w:rPr>
                <w:rFonts w:ascii="Times New Roman" w:hAnsi="Times New Roman" w:cs="Times New Roman"/>
                <w:b/>
              </w:rPr>
            </w:pPr>
          </w:p>
        </w:tc>
        <w:tc>
          <w:tcPr>
            <w:tcW w:w="1351" w:type="dxa"/>
            <w:vAlign w:val="center"/>
          </w:tcPr>
          <w:p w:rsidR="008D182D" w:rsidRPr="008D182D" w:rsidRDefault="008D182D" w:rsidP="008D182D">
            <w:pPr>
              <w:jc w:val="right"/>
              <w:rPr>
                <w:rFonts w:ascii="Times New Roman" w:hAnsi="Times New Roman" w:cs="Times New Roman"/>
                <w:b/>
              </w:rPr>
            </w:pPr>
            <w:r w:rsidRPr="008D182D">
              <w:rPr>
                <w:rFonts w:ascii="Times New Roman" w:hAnsi="Times New Roman" w:cs="Times New Roman"/>
                <w:b/>
              </w:rPr>
              <w:t>1330529,9</w:t>
            </w:r>
          </w:p>
        </w:tc>
        <w:tc>
          <w:tcPr>
            <w:tcW w:w="1276" w:type="dxa"/>
            <w:vAlign w:val="center"/>
          </w:tcPr>
          <w:p w:rsidR="008D182D" w:rsidRPr="008D182D" w:rsidRDefault="008D182D" w:rsidP="008D182D">
            <w:pPr>
              <w:jc w:val="right"/>
              <w:rPr>
                <w:rFonts w:ascii="Times New Roman" w:hAnsi="Times New Roman" w:cs="Times New Roman"/>
                <w:b/>
              </w:rPr>
            </w:pPr>
            <w:r w:rsidRPr="008D182D">
              <w:rPr>
                <w:rFonts w:ascii="Times New Roman" w:hAnsi="Times New Roman" w:cs="Times New Roman"/>
                <w:b/>
              </w:rPr>
              <w:t>1287567,1</w:t>
            </w:r>
          </w:p>
        </w:tc>
        <w:tc>
          <w:tcPr>
            <w:tcW w:w="1185" w:type="dxa"/>
            <w:shd w:val="clear" w:color="auto" w:fill="auto"/>
            <w:vAlign w:val="center"/>
          </w:tcPr>
          <w:p w:rsidR="008D182D" w:rsidRPr="008D182D" w:rsidRDefault="008D182D" w:rsidP="008D182D">
            <w:pPr>
              <w:jc w:val="right"/>
              <w:rPr>
                <w:rFonts w:ascii="Times New Roman" w:hAnsi="Times New Roman" w:cs="Times New Roman"/>
                <w:b/>
              </w:rPr>
            </w:pPr>
            <w:r w:rsidRPr="008D182D">
              <w:rPr>
                <w:rFonts w:ascii="Times New Roman" w:hAnsi="Times New Roman" w:cs="Times New Roman"/>
                <w:b/>
              </w:rPr>
              <w:t>96,7</w:t>
            </w:r>
          </w:p>
        </w:tc>
        <w:tc>
          <w:tcPr>
            <w:tcW w:w="1497" w:type="dxa"/>
            <w:shd w:val="clear" w:color="auto" w:fill="auto"/>
            <w:vAlign w:val="center"/>
          </w:tcPr>
          <w:p w:rsidR="008D182D" w:rsidRPr="008D182D" w:rsidRDefault="008D182D" w:rsidP="008D182D">
            <w:pPr>
              <w:jc w:val="right"/>
              <w:rPr>
                <w:rFonts w:ascii="Times New Roman" w:hAnsi="Times New Roman" w:cs="Times New Roman"/>
                <w:b/>
              </w:rPr>
            </w:pPr>
            <w:r w:rsidRPr="008D182D">
              <w:rPr>
                <w:rFonts w:ascii="Times New Roman" w:hAnsi="Times New Roman" w:cs="Times New Roman"/>
                <w:b/>
              </w:rPr>
              <w:t>100,0</w:t>
            </w:r>
          </w:p>
        </w:tc>
      </w:tr>
    </w:tbl>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p>
    <w:p w:rsidR="008D182D" w:rsidRPr="008D182D" w:rsidRDefault="008D182D" w:rsidP="008D182D">
      <w:pPr>
        <w:widowControl w:val="0"/>
        <w:tabs>
          <w:tab w:val="left" w:pos="709"/>
        </w:tabs>
        <w:spacing w:after="0" w:line="276"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Исходя из данных, представленных в таблице, видно, что основная доля исполненных расходов районного бюджета приходится на такие виды расходов, как:</w:t>
      </w:r>
    </w:p>
    <w:p w:rsidR="008D182D" w:rsidRPr="008D182D" w:rsidRDefault="008D182D" w:rsidP="008D182D">
      <w:pPr>
        <w:spacing w:after="0"/>
        <w:jc w:val="both"/>
        <w:rPr>
          <w:rFonts w:ascii="Times New Roman" w:hAnsi="Times New Roman" w:cs="Times New Roman"/>
          <w:sz w:val="26"/>
          <w:szCs w:val="26"/>
        </w:rPr>
      </w:pPr>
      <w:r w:rsidRPr="008D182D">
        <w:rPr>
          <w:rFonts w:ascii="Times New Roman" w:hAnsi="Times New Roman" w:cs="Times New Roman"/>
          <w:color w:val="000000"/>
          <w:sz w:val="26"/>
          <w:szCs w:val="26"/>
        </w:rPr>
        <w:t xml:space="preserve">       - п</w:t>
      </w:r>
      <w:r w:rsidRPr="008D182D">
        <w:rPr>
          <w:rFonts w:ascii="Times New Roman" w:hAnsi="Times New Roman" w:cs="Times New Roman"/>
          <w:sz w:val="26"/>
          <w:szCs w:val="26"/>
        </w:rPr>
        <w:t>редоставление субсидий бюджетным, автономным учреждениям и иным некоммерческим организациям (вид расходов 600) -58,8% или 757400,7 тыс. рублей;</w:t>
      </w:r>
    </w:p>
    <w:p w:rsidR="008D182D" w:rsidRPr="008D182D" w:rsidRDefault="008D182D" w:rsidP="008D182D">
      <w:pPr>
        <w:spacing w:after="0"/>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выплаты персоналу в целях обеспечения выполнения функций муниципальными органами, казенными учреждениями (вид расходов 100) – 9,1% или 117439,1 тыс. руб.;</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xml:space="preserve">-  межбюджетные трансферты (вид расходов 500) -  20,0 % или 258719,6 тыс. руб. </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иные бюджетные ассигнования (вид расходов 800) – 5,8 % или 75123,3 тыс. руб.;</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закупка товаров, работ и услуг для обеспечения муниципальных нужд (вид расходов 200) -  5,5 % или 70823,8 тыс. руб.</w:t>
      </w:r>
    </w:p>
    <w:p w:rsidR="008D182D" w:rsidRPr="008D182D" w:rsidRDefault="008D182D" w:rsidP="008D182D">
      <w:pPr>
        <w:spacing w:after="0" w:line="276" w:lineRule="auto"/>
        <w:ind w:firstLine="709"/>
        <w:jc w:val="both"/>
        <w:rPr>
          <w:rFonts w:ascii="Times New Roman" w:eastAsia="Times New Roman" w:hAnsi="Times New Roman" w:cs="Times New Roman"/>
          <w:bCs/>
          <w:color w:val="000000" w:themeColor="text1"/>
          <w:sz w:val="26"/>
          <w:szCs w:val="26"/>
          <w:lang w:eastAsia="ru-RU"/>
        </w:rPr>
      </w:pPr>
      <w:r w:rsidRPr="008D182D">
        <w:rPr>
          <w:rFonts w:ascii="Times New Roman" w:eastAsia="Times New Roman" w:hAnsi="Times New Roman" w:cs="Times New Roman"/>
          <w:bCs/>
          <w:color w:val="000000" w:themeColor="text1"/>
          <w:sz w:val="26"/>
          <w:szCs w:val="26"/>
          <w:lang w:eastAsia="ru-RU"/>
        </w:rPr>
        <w:t>В рамках текущего контроля за исполнением районного бюджета по состоянию на 01.07.2021 года установлено неэффективное расходование средств районного бюджета Администрацией Балахтинского района по КБК глава 094 раздел 04 «Национальная экономика» подраздел 12 «Другие вопросы в области национальной экономики» ЦСР «прочие расходы в рамках непрограммных расходов отдельных мероприятий» 94300083100  код вида расходов 853 «Уплата иных платежей»  в размере 9438,2 тыс. рублей.</w:t>
      </w:r>
    </w:p>
    <w:p w:rsidR="008D182D" w:rsidRPr="008D182D" w:rsidRDefault="008D182D" w:rsidP="008D182D">
      <w:pPr>
        <w:spacing w:after="0" w:line="276" w:lineRule="auto"/>
        <w:ind w:firstLine="709"/>
        <w:jc w:val="both"/>
        <w:rPr>
          <w:rFonts w:ascii="Times New Roman" w:eastAsia="Times New Roman" w:hAnsi="Times New Roman" w:cs="Times New Roman"/>
          <w:bCs/>
          <w:color w:val="000000" w:themeColor="text1"/>
          <w:sz w:val="26"/>
          <w:szCs w:val="26"/>
          <w:lang w:eastAsia="ru-RU"/>
        </w:rPr>
      </w:pPr>
      <w:r w:rsidRPr="008D182D">
        <w:rPr>
          <w:rFonts w:ascii="Times New Roman" w:eastAsia="Times New Roman" w:hAnsi="Times New Roman" w:cs="Times New Roman"/>
          <w:bCs/>
          <w:color w:val="000000" w:themeColor="text1"/>
          <w:sz w:val="26"/>
          <w:szCs w:val="26"/>
          <w:lang w:eastAsia="ru-RU"/>
        </w:rPr>
        <w:t>В ходе анализа расходной части бюджета установлено расходование средств районного бюджета на уплату штрафных санкций Администрацией района в сумме 143,0 тыс. рублей, МКУ «Служба заказчика Балахтинского района» в размере 50,0 тыс. рублей. Отвлечение средств бюджета на уплату штрафных санкций также квалифицируется как неэффективные расходование бюджетных средств.</w:t>
      </w:r>
    </w:p>
    <w:p w:rsidR="008D182D" w:rsidRPr="008D182D" w:rsidRDefault="008D182D" w:rsidP="008D182D">
      <w:pPr>
        <w:autoSpaceDE w:val="0"/>
        <w:autoSpaceDN w:val="0"/>
        <w:adjustRightInd w:val="0"/>
        <w:spacing w:after="0" w:line="276" w:lineRule="auto"/>
        <w:jc w:val="center"/>
        <w:rPr>
          <w:rFonts w:ascii="Times New Roman" w:eastAsia="Calibri" w:hAnsi="Times New Roman" w:cs="Times New Roman"/>
          <w:b/>
          <w:sz w:val="26"/>
          <w:szCs w:val="26"/>
          <w:lang w:eastAsia="ru-RU"/>
        </w:rPr>
      </w:pPr>
      <w:r w:rsidRPr="008D182D">
        <w:rPr>
          <w:rFonts w:ascii="Times New Roman" w:eastAsia="Calibri" w:hAnsi="Times New Roman" w:cs="Times New Roman"/>
          <w:b/>
          <w:sz w:val="26"/>
          <w:szCs w:val="26"/>
          <w:lang w:eastAsia="ru-RU"/>
        </w:rPr>
        <w:t>Использование средств резервного фонда</w:t>
      </w:r>
    </w:p>
    <w:p w:rsidR="008D182D" w:rsidRPr="008D182D" w:rsidRDefault="008D182D" w:rsidP="008D182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Статьёй 14 Решения о бюджете на 2021 и плановый период 2022-2023годы размер резервного фонда утверждены в сумме </w:t>
      </w:r>
      <w:r w:rsidRPr="008D182D">
        <w:rPr>
          <w:rFonts w:ascii="Times New Roman" w:eastAsia="Times New Roman" w:hAnsi="Times New Roman" w:cs="Times New Roman"/>
          <w:sz w:val="26"/>
          <w:szCs w:val="26"/>
        </w:rPr>
        <w:t xml:space="preserve">500,0 </w:t>
      </w:r>
      <w:r w:rsidRPr="008D182D">
        <w:rPr>
          <w:rFonts w:ascii="Times New Roman" w:eastAsia="Times New Roman" w:hAnsi="Times New Roman" w:cs="Times New Roman"/>
          <w:sz w:val="26"/>
          <w:szCs w:val="26"/>
          <w:lang w:eastAsia="ru-RU"/>
        </w:rPr>
        <w:t xml:space="preserve">тыс. руб. равномерно по годам, что составляет 0,3 % от общего объема утвержденных расходов районного бюджета на 2021 год и соответствует пункту 3 статьи 81 БК РФ. В результате корректировок бюджета резервный фонд уменьшен до 0 тыс. рублей   в связи с отсутствием чрезвычайных ситуаций.                                                                                          </w:t>
      </w:r>
    </w:p>
    <w:p w:rsidR="008D182D" w:rsidRPr="008D182D" w:rsidRDefault="008D182D" w:rsidP="008D182D">
      <w:pPr>
        <w:autoSpaceDE w:val="0"/>
        <w:autoSpaceDN w:val="0"/>
        <w:adjustRightInd w:val="0"/>
        <w:spacing w:after="0" w:line="276" w:lineRule="auto"/>
        <w:ind w:firstLine="720"/>
        <w:jc w:val="center"/>
        <w:rPr>
          <w:rFonts w:ascii="Times New Roman" w:eastAsia="Calibri" w:hAnsi="Times New Roman" w:cs="Times New Roman"/>
          <w:b/>
          <w:sz w:val="26"/>
          <w:szCs w:val="26"/>
          <w:lang w:eastAsia="ru-RU"/>
        </w:rPr>
      </w:pPr>
      <w:r w:rsidRPr="008D182D">
        <w:rPr>
          <w:rFonts w:ascii="Times New Roman" w:eastAsia="Calibri" w:hAnsi="Times New Roman" w:cs="Times New Roman"/>
          <w:b/>
          <w:sz w:val="26"/>
          <w:szCs w:val="26"/>
          <w:lang w:eastAsia="ru-RU"/>
        </w:rPr>
        <w:lastRenderedPageBreak/>
        <w:t xml:space="preserve">Дефицит (профицит) бюджета, бюджетные кредиты, </w:t>
      </w:r>
    </w:p>
    <w:p w:rsidR="008D182D" w:rsidRPr="008D182D" w:rsidRDefault="008D182D" w:rsidP="008D182D">
      <w:pPr>
        <w:autoSpaceDE w:val="0"/>
        <w:autoSpaceDN w:val="0"/>
        <w:adjustRightInd w:val="0"/>
        <w:spacing w:after="0" w:line="276" w:lineRule="auto"/>
        <w:ind w:firstLine="720"/>
        <w:jc w:val="center"/>
        <w:rPr>
          <w:rFonts w:ascii="Times New Roman" w:eastAsia="Calibri" w:hAnsi="Times New Roman" w:cs="Times New Roman"/>
          <w:b/>
          <w:sz w:val="26"/>
          <w:szCs w:val="26"/>
          <w:lang w:eastAsia="ru-RU"/>
        </w:rPr>
      </w:pPr>
      <w:r w:rsidRPr="008D182D">
        <w:rPr>
          <w:rFonts w:ascii="Times New Roman" w:eastAsia="Calibri" w:hAnsi="Times New Roman" w:cs="Times New Roman"/>
          <w:b/>
          <w:sz w:val="26"/>
          <w:szCs w:val="26"/>
          <w:lang w:eastAsia="ru-RU"/>
        </w:rPr>
        <w:t xml:space="preserve">муниципальный долг и расходы на обслуживание и погашение муниципальных долговых обязательств </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Источники финансирования дефицита районного бюджета представлены в таблице:</w:t>
      </w:r>
    </w:p>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тыс. рублей</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80"/>
        <w:gridCol w:w="1980"/>
        <w:gridCol w:w="1927"/>
      </w:tblGrid>
      <w:tr w:rsidR="008D182D" w:rsidRPr="008D182D" w:rsidTr="00F00E89">
        <w:tc>
          <w:tcPr>
            <w:tcW w:w="540" w:type="dxa"/>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w:t>
            </w:r>
          </w:p>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п/п</w:t>
            </w:r>
          </w:p>
        </w:tc>
        <w:tc>
          <w:tcPr>
            <w:tcW w:w="5580" w:type="dxa"/>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Показатели</w:t>
            </w:r>
          </w:p>
        </w:tc>
        <w:tc>
          <w:tcPr>
            <w:tcW w:w="1980" w:type="dxa"/>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Первоначальный план</w:t>
            </w:r>
          </w:p>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на 2021 год</w:t>
            </w:r>
          </w:p>
        </w:tc>
        <w:tc>
          <w:tcPr>
            <w:tcW w:w="1927" w:type="dxa"/>
            <w:shd w:val="clear" w:color="auto" w:fill="D9D9D9" w:themeFill="background1" w:themeFillShade="D9"/>
            <w:vAlign w:val="center"/>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Факт</w:t>
            </w:r>
          </w:p>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на 01.01.2022</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 xml:space="preserve">Всего доходов бюджета </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1042844,2</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1278815,6</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2</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 xml:space="preserve">Всего расходов бюджета </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1044363,5</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1287567,1</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3</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Безвозмездные поступления</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928782,6</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1139505,6</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4</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Доходы бюджета без учета финансовой помощи</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114061,6</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139310,0</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5</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Превышение доходов над расходами</w:t>
            </w:r>
          </w:p>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(-дефицит) или (+профицит)</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-1519,3</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-8751,5</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6</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Размер дефицита местного бюджета в объеме доходов без учета финансовой помощи, %</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1,3</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6,2</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Бюджетные кредиты от других бюджетов бюджетной системы РФ</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700,0</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бюджетам муниципальных районов</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15200,0</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Погашение бюджетных кредитов от других бюджетов бюджетной системы Российской Федерации бюджетам муниципальных районов</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14500,0</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7</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Источники финансирования дефицита бюджета всего</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8</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бюджета поселения</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9</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1519,3</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8025,5</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10</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Увеличение остатков средств бюджета</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1042844,2</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1344732,1</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11</w:t>
            </w: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Уменьшение остатков средств бюджета</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1044363,5</w:t>
            </w: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1352757,6</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Бюджетные кредиты, предоставленные внутри страны</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26,0</w:t>
            </w:r>
          </w:p>
        </w:tc>
      </w:tr>
      <w:tr w:rsidR="008D182D" w:rsidRPr="008D182D" w:rsidTr="00F00E89">
        <w:tc>
          <w:tcPr>
            <w:tcW w:w="540" w:type="dxa"/>
          </w:tcPr>
          <w:p w:rsidR="008D182D" w:rsidRPr="008D182D" w:rsidRDefault="008D182D" w:rsidP="008D182D">
            <w:pPr>
              <w:spacing w:after="0" w:line="240" w:lineRule="auto"/>
              <w:jc w:val="center"/>
              <w:rPr>
                <w:rFonts w:ascii="Times New Roman" w:eastAsia="Times New Roman" w:hAnsi="Times New Roman" w:cs="Times New Roman"/>
                <w:sz w:val="24"/>
                <w:szCs w:val="24"/>
                <w:lang w:eastAsia="ru-RU"/>
              </w:rPr>
            </w:pPr>
          </w:p>
        </w:tc>
        <w:tc>
          <w:tcPr>
            <w:tcW w:w="5580" w:type="dxa"/>
          </w:tcPr>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Возврат бюджетных кредитов, предоставленных внутри страны</w:t>
            </w:r>
          </w:p>
        </w:tc>
        <w:tc>
          <w:tcPr>
            <w:tcW w:w="1980"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p>
        </w:tc>
        <w:tc>
          <w:tcPr>
            <w:tcW w:w="1927" w:type="dxa"/>
            <w:vAlign w:val="bottom"/>
          </w:tcPr>
          <w:p w:rsidR="008D182D" w:rsidRPr="008D182D" w:rsidRDefault="008D182D" w:rsidP="008D182D">
            <w:pPr>
              <w:spacing w:after="0" w:line="240" w:lineRule="auto"/>
              <w:jc w:val="right"/>
              <w:rPr>
                <w:rFonts w:ascii="Times New Roman" w:eastAsia="Times New Roman" w:hAnsi="Times New Roman" w:cs="Times New Roman"/>
                <w:sz w:val="24"/>
                <w:szCs w:val="24"/>
                <w:lang w:eastAsia="ru-RU"/>
              </w:rPr>
            </w:pPr>
            <w:r w:rsidRPr="008D182D">
              <w:rPr>
                <w:rFonts w:ascii="Times New Roman" w:eastAsia="Times New Roman" w:hAnsi="Times New Roman" w:cs="Times New Roman"/>
                <w:sz w:val="24"/>
                <w:szCs w:val="24"/>
                <w:lang w:eastAsia="ru-RU"/>
              </w:rPr>
              <w:t>26,0</w:t>
            </w:r>
          </w:p>
        </w:tc>
      </w:tr>
    </w:tbl>
    <w:p w:rsidR="008D182D" w:rsidRPr="008D182D" w:rsidRDefault="008D182D" w:rsidP="008D182D">
      <w:pPr>
        <w:spacing w:after="0" w:line="240" w:lineRule="auto"/>
        <w:jc w:val="both"/>
        <w:rPr>
          <w:rFonts w:ascii="Times New Roman" w:eastAsia="Times New Roman" w:hAnsi="Times New Roman" w:cs="Times New Roman"/>
          <w:sz w:val="24"/>
          <w:szCs w:val="24"/>
          <w:lang w:eastAsia="ru-RU"/>
        </w:rPr>
      </w:pPr>
    </w:p>
    <w:p w:rsidR="008D182D" w:rsidRPr="008D182D" w:rsidRDefault="008D182D" w:rsidP="008D182D">
      <w:pPr>
        <w:spacing w:after="0" w:line="322" w:lineRule="exact"/>
        <w:ind w:firstLine="53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По итогам 2021 года районный бюджет исполнен с дефицитом бюджета в размере 8751,5 тыс. рублей. </w:t>
      </w:r>
    </w:p>
    <w:p w:rsidR="008D182D" w:rsidRPr="008D182D" w:rsidRDefault="008D182D" w:rsidP="008D182D">
      <w:pPr>
        <w:spacing w:after="0" w:line="322" w:lineRule="exact"/>
        <w:ind w:firstLine="53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color w:val="000000"/>
          <w:sz w:val="26"/>
          <w:szCs w:val="26"/>
          <w:lang w:eastAsia="ru-RU"/>
        </w:rPr>
        <w:t>Остаток средств на счетах по учету средств бюджета по состоянию на 01.01.2022 года составил 5096,0 тыс. руб.</w:t>
      </w:r>
      <w:r w:rsidRPr="008D182D">
        <w:rPr>
          <w:rFonts w:ascii="Times New Roman" w:eastAsia="Times New Roman" w:hAnsi="Times New Roman" w:cs="Times New Roman"/>
          <w:sz w:val="26"/>
          <w:szCs w:val="26"/>
          <w:lang w:eastAsia="ru-RU"/>
        </w:rPr>
        <w:t>, в том числе целевые (субвенции,) – 151,0 тыс. рублей, свободные остатки средств   – 4945,0 тыс. рублей.</w:t>
      </w:r>
    </w:p>
    <w:p w:rsidR="008D182D" w:rsidRPr="008D182D" w:rsidRDefault="008D182D" w:rsidP="008D182D">
      <w:pPr>
        <w:spacing w:after="0" w:line="276" w:lineRule="auto"/>
        <w:ind w:firstLine="720"/>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Образование остатков средств краевого бюджета,  согласно представленных отчетов об использовании межбюджетных трансфертов, полученных из краевого бюджета (ф.0503324), произошло по причине неполного освоения  средств субвенции на выполнение государственных полномочий по обращению с животными без владельцев  в размере 67,1 тыс. рублей Администрацией района; Управлением образования в виде субвенции по предоставлению компенсации родителям (законным </w:t>
      </w:r>
      <w:r w:rsidRPr="008D182D">
        <w:rPr>
          <w:rFonts w:ascii="Times New Roman" w:eastAsia="Times New Roman" w:hAnsi="Times New Roman" w:cs="Times New Roman"/>
          <w:sz w:val="26"/>
          <w:szCs w:val="26"/>
          <w:lang w:eastAsia="ru-RU"/>
        </w:rPr>
        <w:lastRenderedPageBreak/>
        <w:t>представителям) детей, посещающих образовательные организации, реализующие образовательную программу дошкольного образования в   размере 83,9 тыс. рублей.</w:t>
      </w:r>
    </w:p>
    <w:p w:rsidR="008D182D" w:rsidRPr="008D182D" w:rsidRDefault="008D182D" w:rsidP="008D182D">
      <w:pPr>
        <w:autoSpaceDE w:val="0"/>
        <w:autoSpaceDN w:val="0"/>
        <w:adjustRightInd w:val="0"/>
        <w:spacing w:after="0" w:line="276" w:lineRule="auto"/>
        <w:ind w:firstLine="709"/>
        <w:jc w:val="both"/>
        <w:rPr>
          <w:rFonts w:ascii="Times New Roman" w:hAnsi="Times New Roman" w:cs="Times New Roman"/>
          <w:color w:val="000000"/>
          <w:sz w:val="26"/>
          <w:szCs w:val="26"/>
        </w:rPr>
      </w:pPr>
      <w:r w:rsidRPr="008D182D">
        <w:rPr>
          <w:rFonts w:ascii="Times New Roman" w:eastAsia="Times New Roman" w:hAnsi="Times New Roman" w:cs="Times New Roman"/>
          <w:sz w:val="26"/>
          <w:szCs w:val="26"/>
          <w:lang w:eastAsia="ru-RU"/>
        </w:rPr>
        <w:t>Муниципальный долг муниципального района по состоянию на 01.01.2022 года составил 15200,0 тыс. руб.</w:t>
      </w:r>
      <w:r w:rsidRPr="008D182D">
        <w:rPr>
          <w:rFonts w:ascii="Times New Roman" w:hAnsi="Times New Roman" w:cs="Times New Roman"/>
          <w:color w:val="000000"/>
          <w:sz w:val="26"/>
          <w:szCs w:val="26"/>
        </w:rPr>
        <w:t xml:space="preserve"> в том числе бюджетный кредит, привлеченный в бюджет Балахтинского района от других бюджетов бюджетной системы Российской Федерации по договору о предоставлении бюджетного кредита от 22.12.2021 №180/12-21(со сроком гашения до 1 марта 2022года).</w:t>
      </w:r>
    </w:p>
    <w:p w:rsidR="008D182D" w:rsidRPr="008D182D" w:rsidRDefault="008D182D" w:rsidP="008D182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Соотношение объема муниципального долга района к объему собственных доходов (доходы за минусом безвозмездных поступлений из других бюджетов) увеличилось с 12,5% в 2020 году до 10,9% в 2021году.</w:t>
      </w:r>
    </w:p>
    <w:p w:rsidR="008D182D" w:rsidRPr="008D182D" w:rsidRDefault="008D182D" w:rsidP="008D182D">
      <w:pPr>
        <w:autoSpaceDE w:val="0"/>
        <w:autoSpaceDN w:val="0"/>
        <w:adjustRightInd w:val="0"/>
        <w:spacing w:after="0" w:line="276" w:lineRule="auto"/>
        <w:ind w:firstLine="709"/>
        <w:jc w:val="both"/>
        <w:rPr>
          <w:rFonts w:ascii="Times New Roman" w:eastAsia="Times New Roman" w:hAnsi="Times New Roman" w:cs="Times New Roman"/>
          <w:sz w:val="26"/>
          <w:szCs w:val="26"/>
        </w:rPr>
      </w:pPr>
      <w:r w:rsidRPr="008D182D">
        <w:rPr>
          <w:rFonts w:ascii="Times New Roman" w:eastAsia="Times New Roman" w:hAnsi="Times New Roman" w:cs="Times New Roman"/>
          <w:sz w:val="26"/>
          <w:szCs w:val="26"/>
          <w:lang w:eastAsia="ru-RU"/>
        </w:rPr>
        <w:t xml:space="preserve">Расходы на обслуживание муниципального долга муниципального района в отчетном периоде составили 1,6 тыс. руб. и не превысили утвержденный Решением о бюджете предельный объем расходов на обслуживание муниципального долга. </w:t>
      </w:r>
    </w:p>
    <w:p w:rsidR="008D182D" w:rsidRPr="008D182D" w:rsidRDefault="008D182D" w:rsidP="008D182D">
      <w:pPr>
        <w:spacing w:after="0" w:line="276" w:lineRule="auto"/>
        <w:ind w:firstLine="709"/>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Удельный вес расходов на обслуживание муниципального долга в расходах районного бюджета соответствует требованиям статьи 111 БК РФ.</w:t>
      </w:r>
    </w:p>
    <w:p w:rsidR="008D182D" w:rsidRPr="008D182D" w:rsidRDefault="008D182D" w:rsidP="008D182D">
      <w:pPr>
        <w:keepNext/>
        <w:shd w:val="clear" w:color="auto" w:fill="FFFFFF"/>
        <w:spacing w:after="0" w:line="240" w:lineRule="auto"/>
        <w:ind w:left="-567" w:right="-766" w:firstLine="1106"/>
        <w:jc w:val="center"/>
        <w:outlineLvl w:val="0"/>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ВЫВОДЫ</w:t>
      </w:r>
    </w:p>
    <w:p w:rsidR="008D182D" w:rsidRPr="008D182D" w:rsidRDefault="008D182D" w:rsidP="008D182D">
      <w:pPr>
        <w:shd w:val="clear" w:color="auto" w:fill="FFFFFF"/>
        <w:spacing w:after="0" w:line="276" w:lineRule="auto"/>
        <w:contextualSpacing/>
        <w:jc w:val="both"/>
        <w:rPr>
          <w:rFonts w:ascii="Times New Roman" w:eastAsia="Calibri" w:hAnsi="Times New Roman" w:cs="Times New Roman"/>
          <w:sz w:val="26"/>
          <w:szCs w:val="26"/>
          <w:lang w:eastAsia="ru-RU"/>
        </w:rPr>
      </w:pPr>
      <w:r w:rsidRPr="008D182D">
        <w:rPr>
          <w:rFonts w:ascii="Times New Roman" w:eastAsia="Calibri" w:hAnsi="Times New Roman" w:cs="Times New Roman"/>
          <w:sz w:val="26"/>
          <w:szCs w:val="26"/>
          <w:lang w:eastAsia="ru-RU"/>
        </w:rPr>
        <w:t xml:space="preserve">       1.Годовой отчет об исполнении районного бюджета Балахтинского муниципального района за 2021 год представлен Администрацией Балахтинского района в Контрольно-счетный орган с соблюдением срока, установленного статьей 264.4 Бюджетного кодекса Российской Федерации и статьей 52 Положения о бюджетном процессе в Балахтинском районе.</w:t>
      </w:r>
    </w:p>
    <w:p w:rsidR="008D182D" w:rsidRPr="008D182D" w:rsidRDefault="008D182D" w:rsidP="008D182D">
      <w:pPr>
        <w:shd w:val="clear" w:color="auto" w:fill="FFFFFF"/>
        <w:spacing w:after="0" w:line="322" w:lineRule="exact"/>
        <w:ind w:right="6"/>
        <w:jc w:val="both"/>
        <w:rPr>
          <w:rFonts w:ascii="Times New Roman" w:eastAsia="Times New Roman" w:hAnsi="Times New Roman" w:cs="Times New Roman"/>
          <w:sz w:val="26"/>
          <w:szCs w:val="26"/>
          <w:lang w:eastAsia="ar-SA"/>
        </w:rPr>
      </w:pPr>
      <w:r w:rsidRPr="008D182D">
        <w:rPr>
          <w:rFonts w:ascii="Times New Roman" w:eastAsiaTheme="minorEastAsia" w:hAnsi="Times New Roman" w:cs="Times New Roman"/>
          <w:bCs/>
          <w:color w:val="000000"/>
          <w:sz w:val="26"/>
          <w:szCs w:val="26"/>
          <w:lang w:eastAsia="ru-RU"/>
        </w:rPr>
        <w:t xml:space="preserve">       По результатам проведения проверки годовой бюджетной отчетности главных распорядителей бюджетных средств установлено</w:t>
      </w:r>
      <w:r w:rsidRPr="008D182D">
        <w:rPr>
          <w:rFonts w:ascii="Times New Roman" w:eastAsia="Times New Roman" w:hAnsi="Times New Roman" w:cs="Times New Roman"/>
          <w:sz w:val="26"/>
          <w:szCs w:val="26"/>
          <w:lang w:eastAsia="ru-RU"/>
        </w:rPr>
        <w:t xml:space="preserve">: не отражение в бюджетном учете операций по счетам </w:t>
      </w:r>
      <w:r w:rsidRPr="008D182D">
        <w:rPr>
          <w:rFonts w:ascii="Times New Roman" w:eastAsia="Times New Roman" w:hAnsi="Times New Roman" w:cs="Times New Roman"/>
          <w:sz w:val="26"/>
          <w:szCs w:val="26"/>
          <w:lang w:eastAsia="ar-SA"/>
        </w:rPr>
        <w:t>0 501 23 000 «Лимиты бюджетных обязательств первого года, следующего за текущим (очередного финансового года)», счет 0 501 33 000 «Лимиты бюджетных обязательств второго года, следующего за текущим(первого года, следующего за очередным)» в нарушение п.п.309,315,316 Инструкции № 157н;   по счету 0 502 99 000 «Отложенные обязательства на иные очередные годы(за пределами планового периода)» в нарушение статьи 264.1 Бюджетного кодекса РФ, п.7 Федерального стандарта № 124н, п.п.302.1,308,309 Инструкции № 157Н, раздела 3 Методических рекомендаций по применению положений СГС «Резервы. Раскрытие информации об условных обязательствах и условных активах, письма Минфина России от 14.01.2016 № 02-07-10/604; не соответствие утвержденных лимитов, доведенных бюджетной росписью по  счету 0 501 13 000 «Лимиты бюджетных обязательств текущего финансового года»  показателям графы 5 Отчета о бюджетных обязательствах  (ф.0503128) и раздела 3 Сведений о принятых и неисполненных обязательствах получателя бюджетных средств (ф.0503175);  принятие к учету активов по стоимости, не соответствующей стоимости, отраженной в документах, подтверждающих переход прав (МКУ УИЗИЗ –автомобиль ТОЙОТА КАМРИ), не проведение перед составление годовой бюджетной отчетности инвентаризации активов и обязательств (МКУ Служба заказчика»), не проведение инвентаризации имущества казны (МКУ УИЗИЗ); не отражение на счетах бухгалтерского учета, поступившего имущества (МАУ ФСЦ «Олимп») , что  влечет риски, которые могут оказать влияние на достоверность отчетности.</w:t>
      </w:r>
    </w:p>
    <w:p w:rsidR="008D182D" w:rsidRPr="008D182D" w:rsidRDefault="008D182D" w:rsidP="008D182D">
      <w:pPr>
        <w:spacing w:after="0" w:line="240" w:lineRule="atLeast"/>
        <w:contextualSpacing/>
        <w:jc w:val="both"/>
        <w:outlineLvl w:val="2"/>
        <w:rPr>
          <w:rFonts w:ascii="Times New Roman" w:eastAsia="Times New Roman" w:hAnsi="Times New Roman" w:cs="Times New Roman"/>
          <w:color w:val="000000"/>
          <w:sz w:val="26"/>
          <w:szCs w:val="26"/>
          <w:lang w:eastAsia="ru-RU"/>
        </w:rPr>
      </w:pPr>
      <w:r w:rsidRPr="008D182D">
        <w:rPr>
          <w:rFonts w:ascii="Times New Roman" w:eastAsia="Times New Roman" w:hAnsi="Times New Roman" w:cs="Times New Roman"/>
          <w:color w:val="000000"/>
          <w:sz w:val="28"/>
          <w:szCs w:val="28"/>
          <w:lang w:eastAsia="ru-RU"/>
        </w:rPr>
        <w:lastRenderedPageBreak/>
        <w:t xml:space="preserve">    </w:t>
      </w:r>
      <w:r w:rsidRPr="008D182D">
        <w:rPr>
          <w:rFonts w:ascii="Times New Roman" w:eastAsia="Times New Roman" w:hAnsi="Times New Roman" w:cs="Times New Roman"/>
          <w:color w:val="000000"/>
          <w:sz w:val="26"/>
          <w:szCs w:val="26"/>
          <w:lang w:eastAsia="ru-RU"/>
        </w:rPr>
        <w:t xml:space="preserve">2.Показатели доходов, расходов районного бюджета соответствуют показателям представленного отчета: </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-поступило доходов на сумму 1278815,6</w:t>
      </w:r>
      <w:r w:rsidRPr="008D182D">
        <w:rPr>
          <w:rFonts w:ascii="Times New Roman" w:eastAsia="Times New Roman" w:hAnsi="Times New Roman" w:cs="Times New Roman"/>
          <w:spacing w:val="11"/>
          <w:sz w:val="26"/>
          <w:szCs w:val="26"/>
          <w:lang w:eastAsia="ru-RU"/>
        </w:rPr>
        <w:t xml:space="preserve"> </w:t>
      </w:r>
      <w:r w:rsidRPr="008D182D">
        <w:rPr>
          <w:rFonts w:ascii="Times New Roman" w:eastAsia="Times New Roman" w:hAnsi="Times New Roman" w:cs="Times New Roman"/>
          <w:sz w:val="26"/>
          <w:szCs w:val="26"/>
          <w:lang w:eastAsia="ru-RU"/>
        </w:rPr>
        <w:t>тыс. рублей, что ниже плановых назначений на 37867,7 тыс. рублей в том числе:</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налоговые доходы- 117432,67 тыс. рублей или 101,5%;</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неналоговые доходы -21877,4 тыс. рублей или 103,8%;</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безвозмездные поступления 1139505,6 тыс. рублей или 96,5%.</w:t>
      </w:r>
    </w:p>
    <w:p w:rsidR="008D182D" w:rsidRPr="008D182D" w:rsidRDefault="008D182D" w:rsidP="008D182D">
      <w:pPr>
        <w:spacing w:after="0" w:line="240" w:lineRule="atLeast"/>
        <w:ind w:firstLine="709"/>
        <w:jc w:val="both"/>
        <w:rPr>
          <w:rFonts w:ascii="Times New Roman" w:eastAsia="Calibri" w:hAnsi="Times New Roman" w:cs="Times New Roman"/>
          <w:sz w:val="26"/>
          <w:szCs w:val="26"/>
          <w:lang w:eastAsia="ru-RU"/>
        </w:rPr>
      </w:pPr>
      <w:r w:rsidRPr="008D182D">
        <w:rPr>
          <w:rFonts w:ascii="Times New Roman" w:eastAsia="Calibri" w:hAnsi="Times New Roman" w:cs="Times New Roman"/>
          <w:sz w:val="26"/>
          <w:szCs w:val="26"/>
          <w:lang w:eastAsia="ru-RU"/>
        </w:rPr>
        <w:t>Как и в предыдущие годы, основными доходообразующим налогом является налог на доходы физических лиц, формируемым около 64,6 % собственных доходов района.</w:t>
      </w:r>
    </w:p>
    <w:p w:rsidR="008D182D" w:rsidRPr="008D182D" w:rsidRDefault="008D182D" w:rsidP="008D182D">
      <w:pPr>
        <w:spacing w:after="0" w:line="0" w:lineRule="atLeast"/>
        <w:ind w:firstLine="709"/>
        <w:jc w:val="both"/>
        <w:rPr>
          <w:rFonts w:ascii="Times New Roman" w:eastAsia="Calibri" w:hAnsi="Times New Roman" w:cs="Times New Roman"/>
          <w:sz w:val="26"/>
          <w:szCs w:val="26"/>
          <w:lang w:eastAsia="ru-RU"/>
        </w:rPr>
      </w:pPr>
      <w:r w:rsidRPr="008D182D">
        <w:rPr>
          <w:rFonts w:ascii="Times New Roman" w:eastAsia="Calibri" w:hAnsi="Times New Roman" w:cs="Times New Roman"/>
          <w:sz w:val="26"/>
          <w:szCs w:val="26"/>
          <w:lang w:eastAsia="ru-RU"/>
        </w:rPr>
        <w:t>Повышение собираемости налогов и сборов и повышение эффективности работы по взысканию задолженности являются одними из основных резервов роста доходной части районного бюджета.</w:t>
      </w:r>
    </w:p>
    <w:p w:rsidR="008D182D" w:rsidRPr="008D182D" w:rsidRDefault="008D182D" w:rsidP="008D182D">
      <w:pPr>
        <w:spacing w:after="0" w:line="0" w:lineRule="atLeast"/>
        <w:jc w:val="both"/>
        <w:rPr>
          <w:rFonts w:ascii="Times New Roman" w:eastAsia="Calibri" w:hAnsi="Times New Roman" w:cs="Times New Roman"/>
          <w:sz w:val="28"/>
          <w:szCs w:val="28"/>
          <w:lang w:eastAsia="ru-RU"/>
        </w:rPr>
      </w:pPr>
      <w:r w:rsidRPr="008D182D">
        <w:rPr>
          <w:rFonts w:ascii="Times New Roman" w:eastAsia="Calibri" w:hAnsi="Times New Roman" w:cs="Times New Roman"/>
          <w:sz w:val="28"/>
          <w:szCs w:val="28"/>
          <w:lang w:eastAsia="ru-RU"/>
        </w:rPr>
        <w:t xml:space="preserve">    </w:t>
      </w:r>
      <w:r w:rsidRPr="008D182D">
        <w:rPr>
          <w:rFonts w:ascii="Times New Roman" w:eastAsia="Calibri" w:hAnsi="Times New Roman" w:cs="Times New Roman"/>
          <w:sz w:val="26"/>
          <w:szCs w:val="26"/>
          <w:lang w:eastAsia="ru-RU"/>
        </w:rPr>
        <w:t>В 2021 году потери районного бюджета сложились в сумме 10334,9 тыс. рублей, в том числе не поступившие средства по  арендному землепользованию-8167,9тыс. рублей, что составляет 54,7% к начисленной сумме арендной платы</w:t>
      </w:r>
      <w:r w:rsidRPr="008D182D">
        <w:rPr>
          <w:rFonts w:ascii="Times New Roman" w:eastAsia="Calibri" w:hAnsi="Times New Roman" w:cs="Times New Roman"/>
          <w:sz w:val="28"/>
          <w:szCs w:val="28"/>
          <w:lang w:eastAsia="ru-RU"/>
        </w:rPr>
        <w:t>.</w:t>
      </w:r>
    </w:p>
    <w:p w:rsidR="008D182D" w:rsidRPr="008D182D" w:rsidRDefault="008D182D" w:rsidP="008D182D">
      <w:pPr>
        <w:spacing w:after="0" w:line="0" w:lineRule="atLeast"/>
        <w:ind w:firstLine="709"/>
        <w:jc w:val="both"/>
        <w:rPr>
          <w:rFonts w:ascii="Times New Roman" w:eastAsia="Calibri" w:hAnsi="Times New Roman" w:cs="Times New Roman"/>
          <w:sz w:val="26"/>
          <w:szCs w:val="26"/>
          <w:lang w:eastAsia="ru-RU"/>
        </w:rPr>
      </w:pPr>
      <w:r w:rsidRPr="008D182D">
        <w:rPr>
          <w:rFonts w:ascii="Times New Roman" w:eastAsia="Calibri" w:hAnsi="Times New Roman" w:cs="Times New Roman"/>
          <w:sz w:val="26"/>
          <w:szCs w:val="26"/>
          <w:lang w:eastAsia="ru-RU"/>
        </w:rPr>
        <w:t>2.1. Расходы составили 1287567,1 тыс. рублей (96,7%).</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По сравнению с 2020 годом расходы бюджета увеличились на 113757,9 тыс. рублей или на 9,6%.</w:t>
      </w:r>
    </w:p>
    <w:p w:rsidR="008D182D" w:rsidRPr="008D182D" w:rsidRDefault="008D182D" w:rsidP="008D182D">
      <w:pPr>
        <w:autoSpaceDE w:val="0"/>
        <w:autoSpaceDN w:val="0"/>
        <w:adjustRightInd w:val="0"/>
        <w:spacing w:after="0" w:line="240" w:lineRule="auto"/>
        <w:ind w:firstLine="708"/>
        <w:jc w:val="both"/>
        <w:rPr>
          <w:rFonts w:ascii="Times New Roman" w:eastAsia="Calibri" w:hAnsi="Times New Roman" w:cs="Times New Roman"/>
          <w:color w:val="000000"/>
          <w:sz w:val="26"/>
          <w:szCs w:val="26"/>
          <w:lang w:eastAsia="ru-RU"/>
        </w:rPr>
      </w:pPr>
      <w:r w:rsidRPr="008D182D">
        <w:rPr>
          <w:rFonts w:ascii="Times New Roman" w:eastAsia="Calibri" w:hAnsi="Times New Roman" w:cs="Times New Roman"/>
          <w:color w:val="000000"/>
          <w:sz w:val="26"/>
          <w:szCs w:val="26"/>
          <w:lang w:eastAsia="ru-RU"/>
        </w:rPr>
        <w:t>Как следует из сведений об исполнении бюджета по ГАБС форм 0503164, а также  пояснительной записки отчета об исполнении консолидированного бюджета неисполнением бюджетных назначений явилось отражение экономии использования бюджетных средств, в результате проведения конкурсных процедур, длительностью проведения конкурсных процедур и использование бюджетных средств по фактической потребности, а также не освоение средств субсидии по развитию туристско-рекреационных зон по причине несостоявшихся конкурсных процедур в размере 170000,0 тыс. рублей; не поступление безвозмездных поступлений от ООО «Сибуголь» по Соглашению в размере 3917,0 тыс. рублей.</w:t>
      </w:r>
    </w:p>
    <w:p w:rsidR="008D182D" w:rsidRPr="008D182D" w:rsidRDefault="008D182D" w:rsidP="008D182D">
      <w:pPr>
        <w:suppressAutoHyphens/>
        <w:spacing w:before="28" w:after="0" w:line="240" w:lineRule="auto"/>
        <w:jc w:val="both"/>
        <w:textAlignment w:val="baseline"/>
        <w:rPr>
          <w:rFonts w:ascii="Times New Roman" w:eastAsia="Calibri" w:hAnsi="Times New Roman" w:cs="Times New Roman"/>
          <w:kern w:val="1"/>
          <w:sz w:val="26"/>
          <w:szCs w:val="26"/>
          <w:lang w:eastAsia="ar-SA"/>
        </w:rPr>
      </w:pPr>
      <w:r w:rsidRPr="008D182D">
        <w:rPr>
          <w:rFonts w:ascii="Times New Roman" w:eastAsia="Calibri" w:hAnsi="Times New Roman" w:cs="Times New Roman"/>
          <w:kern w:val="1"/>
          <w:sz w:val="26"/>
          <w:szCs w:val="26"/>
          <w:lang w:eastAsia="ar-SA"/>
        </w:rPr>
        <w:t xml:space="preserve">   На социально-культурную сферу из районного бюджета было направлено 63,5% объёма расходов районного бюджета, таким образом, структура бюджета сохранила социальную направленность. </w:t>
      </w:r>
    </w:p>
    <w:p w:rsidR="008D182D" w:rsidRPr="008D182D" w:rsidRDefault="008D182D" w:rsidP="008D182D">
      <w:pPr>
        <w:shd w:val="clear" w:color="auto" w:fill="FFFFFF"/>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Наибольший объем неисполненных бюджетных назначений сложился по Администрации района 85,8%, МКУ «УИЗИЗ» -44,1%.</w:t>
      </w:r>
    </w:p>
    <w:p w:rsidR="008D182D" w:rsidRPr="008D182D" w:rsidRDefault="008D182D" w:rsidP="008D182D">
      <w:pPr>
        <w:autoSpaceDE w:val="0"/>
        <w:autoSpaceDN w:val="0"/>
        <w:adjustRightInd w:val="0"/>
        <w:spacing w:after="0" w:line="240" w:lineRule="auto"/>
        <w:jc w:val="both"/>
        <w:rPr>
          <w:rFonts w:ascii="Times New Roman" w:hAnsi="Times New Roman" w:cs="Times New Roman"/>
          <w:sz w:val="26"/>
          <w:szCs w:val="26"/>
        </w:rPr>
      </w:pPr>
      <w:r w:rsidRPr="008D182D">
        <w:rPr>
          <w:rFonts w:ascii="Times New Roman" w:hAnsi="Times New Roman" w:cs="Times New Roman"/>
          <w:sz w:val="26"/>
          <w:szCs w:val="26"/>
        </w:rPr>
        <w:t xml:space="preserve">  Расходы на реализацию 5-ми региональных проектов в 2021 году составили 21806,1 тыс. рублей или 99,9% от уточненных бюджетных назначений.</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Общий объем расходов бюджета на исполнение муниципальных программ согласно Отчету составил 1088011,9 тыс. рублей. О</w:t>
      </w:r>
      <w:r w:rsidRPr="008D182D">
        <w:rPr>
          <w:rFonts w:ascii="Times New Roman" w:eastAsia="Calibri" w:hAnsi="Times New Roman" w:cs="Times New Roman"/>
          <w:sz w:val="26"/>
          <w:szCs w:val="26"/>
          <w:lang w:eastAsia="ru-RU"/>
        </w:rPr>
        <w:t xml:space="preserve">тмечается высокий процент выполнения по всем муниципальным программам (от 97,7% до 100,0%), за исключением муниципальной программы </w:t>
      </w:r>
      <w:r w:rsidRPr="008D182D">
        <w:rPr>
          <w:rFonts w:ascii="Times New Roman" w:eastAsia="Times New Roman" w:hAnsi="Times New Roman" w:cs="Times New Roman"/>
          <w:sz w:val="26"/>
          <w:szCs w:val="26"/>
          <w:lang w:eastAsia="ru-RU"/>
        </w:rPr>
        <w:t>«Укрепление общественного здоровья на территории Балахтинского района»-59,8%.</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Непрограммные расходы составили 199555,2 тыс. рублей или 95,1% от уточненных бюджетных назначений.</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В отчетном году по сравнению с 2020 годом доля непрограммных расходов в общем объеме расходов районного бюджета уменьшилась на 0,7 процентных пункта и составила 15,5%.</w:t>
      </w:r>
    </w:p>
    <w:p w:rsidR="008D182D" w:rsidRPr="008D182D" w:rsidRDefault="008D182D" w:rsidP="008D182D">
      <w:pPr>
        <w:widowControl w:val="0"/>
        <w:tabs>
          <w:tab w:val="left" w:pos="709"/>
        </w:tabs>
        <w:spacing w:after="0" w:line="276"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Доля исполненных расходов районного бюджета по видам расходов распределена на:</w:t>
      </w:r>
    </w:p>
    <w:p w:rsidR="008D182D" w:rsidRPr="008D182D" w:rsidRDefault="008D182D" w:rsidP="008D182D">
      <w:pPr>
        <w:spacing w:after="0"/>
        <w:jc w:val="both"/>
        <w:rPr>
          <w:rFonts w:ascii="Times New Roman" w:hAnsi="Times New Roman" w:cs="Times New Roman"/>
          <w:sz w:val="26"/>
          <w:szCs w:val="26"/>
        </w:rPr>
      </w:pPr>
      <w:r w:rsidRPr="008D182D">
        <w:rPr>
          <w:rFonts w:ascii="Times New Roman" w:hAnsi="Times New Roman" w:cs="Times New Roman"/>
          <w:color w:val="000000"/>
          <w:sz w:val="26"/>
          <w:szCs w:val="26"/>
        </w:rPr>
        <w:lastRenderedPageBreak/>
        <w:t xml:space="preserve">        - п</w:t>
      </w:r>
      <w:r w:rsidRPr="008D182D">
        <w:rPr>
          <w:rFonts w:ascii="Times New Roman" w:hAnsi="Times New Roman" w:cs="Times New Roman"/>
          <w:sz w:val="26"/>
          <w:szCs w:val="26"/>
        </w:rPr>
        <w:t>редоставление субсидий бюджетным, автономным учреждениям и иным некоммерческим организациям (вид расходов 600) -58,8% или 757400,7 тыс. рублей;</w:t>
      </w:r>
    </w:p>
    <w:p w:rsidR="008D182D" w:rsidRPr="008D182D" w:rsidRDefault="008D182D" w:rsidP="008D182D">
      <w:pPr>
        <w:spacing w:after="0"/>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выплаты персоналу в целях обеспечения выполнения функций муниципальными органами, казенными учреждениями (вид расходов 100) – 9,1% или 117439,1 тыс. руб.;</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xml:space="preserve">-  межбюджетные трансферты (вид расходов 500) -  20,0 % или 258719,6 тыс. руб. </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иные бюджетные ассигнования (вид расходов 800) – 5,8 % или 75123,3 тыс. руб.;</w:t>
      </w:r>
    </w:p>
    <w:p w:rsidR="008D182D" w:rsidRPr="008D182D" w:rsidRDefault="008D182D" w:rsidP="008D182D">
      <w:pPr>
        <w:widowControl w:val="0"/>
        <w:tabs>
          <w:tab w:val="left" w:pos="709"/>
        </w:tabs>
        <w:spacing w:after="0" w:line="240" w:lineRule="auto"/>
        <w:ind w:firstLine="709"/>
        <w:jc w:val="both"/>
        <w:rPr>
          <w:rFonts w:ascii="Times New Roman" w:hAnsi="Times New Roman" w:cs="Times New Roman"/>
          <w:color w:val="000000"/>
          <w:sz w:val="26"/>
          <w:szCs w:val="26"/>
        </w:rPr>
      </w:pPr>
      <w:r w:rsidRPr="008D182D">
        <w:rPr>
          <w:rFonts w:ascii="Times New Roman" w:hAnsi="Times New Roman" w:cs="Times New Roman"/>
          <w:color w:val="000000"/>
          <w:sz w:val="26"/>
          <w:szCs w:val="26"/>
        </w:rPr>
        <w:t>-  закупка товаров, работ и услуг для обеспечения муниципальных нужд (вид расходов 200) -  5,5 % или 70823,8 тыс. руб.</w:t>
      </w:r>
    </w:p>
    <w:p w:rsidR="008D182D" w:rsidRPr="008D182D" w:rsidRDefault="008D182D" w:rsidP="008D182D">
      <w:pPr>
        <w:spacing w:after="0"/>
        <w:jc w:val="both"/>
        <w:outlineLvl w:val="4"/>
        <w:rPr>
          <w:rFonts w:ascii="Times New Roman" w:hAnsi="Times New Roman" w:cs="Times New Roman"/>
          <w:sz w:val="26"/>
          <w:szCs w:val="26"/>
        </w:rPr>
      </w:pPr>
      <w:r w:rsidRPr="008D182D">
        <w:rPr>
          <w:rFonts w:ascii="Times New Roman" w:eastAsia="Calibri" w:hAnsi="Times New Roman" w:cs="Times New Roman"/>
          <w:color w:val="000000"/>
          <w:sz w:val="26"/>
          <w:szCs w:val="26"/>
          <w:lang w:eastAsia="ru-RU"/>
        </w:rPr>
        <w:t xml:space="preserve">    </w:t>
      </w:r>
      <w:r w:rsidRPr="008D182D">
        <w:rPr>
          <w:rFonts w:ascii="Times New Roman" w:hAnsi="Times New Roman" w:cs="Times New Roman"/>
          <w:sz w:val="26"/>
          <w:szCs w:val="26"/>
        </w:rPr>
        <w:t xml:space="preserve">В нарушение ст. 34 Бюджетного кодекса Российской Федерации не соблюден принцип результативности и эффективности использования средств районного бюджета при исполнении бюджета за 2021 год направленных на уплату штрафных санкций в сумме 9631,2 тыс. рублей. </w:t>
      </w:r>
    </w:p>
    <w:p w:rsidR="008D182D" w:rsidRPr="008D182D" w:rsidRDefault="008D182D" w:rsidP="008D182D">
      <w:pPr>
        <w:suppressAutoHyphens/>
        <w:spacing w:before="28" w:after="0" w:line="240" w:lineRule="auto"/>
        <w:jc w:val="both"/>
        <w:textAlignment w:val="baseline"/>
        <w:rPr>
          <w:rFonts w:ascii="Times New Roman" w:eastAsia="Calibri" w:hAnsi="Times New Roman" w:cs="Times New Roman"/>
          <w:kern w:val="1"/>
          <w:sz w:val="26"/>
          <w:szCs w:val="26"/>
          <w:lang w:eastAsia="ar-SA"/>
        </w:rPr>
      </w:pPr>
      <w:r w:rsidRPr="008D182D">
        <w:rPr>
          <w:rFonts w:ascii="Times New Roman" w:eastAsia="Calibri" w:hAnsi="Times New Roman" w:cs="Times New Roman"/>
          <w:kern w:val="1"/>
          <w:sz w:val="26"/>
          <w:szCs w:val="26"/>
          <w:lang w:eastAsia="ar-SA"/>
        </w:rPr>
        <w:t xml:space="preserve">     Средства резервного фонда, не использовались по причине отсутствия чрезвычайных ситуаций.</w:t>
      </w:r>
    </w:p>
    <w:p w:rsidR="008D182D" w:rsidRPr="008D182D" w:rsidRDefault="008D182D" w:rsidP="008D182D">
      <w:pPr>
        <w:suppressAutoHyphens/>
        <w:spacing w:before="28" w:after="0" w:line="240" w:lineRule="auto"/>
        <w:jc w:val="both"/>
        <w:textAlignment w:val="baseline"/>
        <w:rPr>
          <w:rFonts w:ascii="Times New Roman" w:hAnsi="Times New Roman" w:cs="Times New Roman"/>
          <w:sz w:val="26"/>
          <w:szCs w:val="26"/>
        </w:rPr>
      </w:pPr>
      <w:r w:rsidRPr="008D182D">
        <w:rPr>
          <w:rFonts w:ascii="Times New Roman" w:eastAsia="Calibri" w:hAnsi="Times New Roman" w:cs="Times New Roman"/>
          <w:kern w:val="1"/>
          <w:sz w:val="26"/>
          <w:szCs w:val="26"/>
          <w:lang w:eastAsia="ar-SA"/>
        </w:rPr>
        <w:t xml:space="preserve">      Бюджет исполнен с дефицитом бюджета в размере 8752,5 тыс. рублей</w:t>
      </w:r>
      <w:r w:rsidRPr="008D182D">
        <w:rPr>
          <w:rFonts w:ascii="Times New Roman" w:hAnsi="Times New Roman" w:cs="Times New Roman"/>
          <w:sz w:val="26"/>
          <w:szCs w:val="26"/>
        </w:rPr>
        <w:t xml:space="preserve">. </w:t>
      </w:r>
    </w:p>
    <w:p w:rsidR="008D182D" w:rsidRPr="008D182D" w:rsidRDefault="008D182D" w:rsidP="008D182D">
      <w:pPr>
        <w:suppressAutoHyphens/>
        <w:spacing w:before="28" w:after="0" w:line="240" w:lineRule="auto"/>
        <w:jc w:val="both"/>
        <w:textAlignment w:val="baseline"/>
        <w:rPr>
          <w:rFonts w:ascii="Times New Roman" w:hAnsi="Times New Roman" w:cs="Times New Roman"/>
          <w:sz w:val="26"/>
          <w:szCs w:val="26"/>
        </w:rPr>
      </w:pPr>
      <w:r w:rsidRPr="008D182D">
        <w:rPr>
          <w:rFonts w:ascii="Times New Roman" w:hAnsi="Times New Roman" w:cs="Times New Roman"/>
          <w:sz w:val="26"/>
          <w:szCs w:val="26"/>
        </w:rPr>
        <w:t xml:space="preserve">Источниками дефицита бюджета является изменение остатков на счетах бюджета и бюджетные кредиты от других бюджетов бюджетной системы. </w:t>
      </w:r>
    </w:p>
    <w:p w:rsidR="008D182D" w:rsidRPr="008D182D" w:rsidRDefault="008D182D" w:rsidP="008D182D">
      <w:pPr>
        <w:widowControl w:val="0"/>
        <w:suppressAutoHyphens/>
        <w:spacing w:before="28" w:after="0" w:line="240" w:lineRule="auto"/>
        <w:ind w:firstLine="709"/>
        <w:jc w:val="both"/>
        <w:textAlignment w:val="baseline"/>
        <w:rPr>
          <w:rFonts w:ascii="Times New Roman" w:eastAsia="Andale Sans UI" w:hAnsi="Times New Roman" w:cs="Times New Roman"/>
          <w:kern w:val="1"/>
          <w:sz w:val="26"/>
          <w:szCs w:val="26"/>
          <w:lang w:eastAsia="fa-IR" w:bidi="fa-IR"/>
        </w:rPr>
      </w:pPr>
      <w:r w:rsidRPr="008D182D">
        <w:rPr>
          <w:rFonts w:ascii="Times New Roman" w:eastAsia="Andale Sans UI" w:hAnsi="Times New Roman" w:cs="Times New Roman"/>
          <w:kern w:val="1"/>
          <w:sz w:val="28"/>
          <w:szCs w:val="28"/>
          <w:lang w:eastAsia="fa-IR" w:bidi="fa-IR"/>
        </w:rPr>
        <w:t>3.</w:t>
      </w:r>
      <w:r w:rsidRPr="008D182D">
        <w:rPr>
          <w:rFonts w:ascii="Times New Roman" w:eastAsia="Andale Sans UI" w:hAnsi="Times New Roman" w:cs="Times New Roman"/>
          <w:kern w:val="1"/>
          <w:sz w:val="26"/>
          <w:szCs w:val="26"/>
          <w:lang w:eastAsia="fa-IR" w:bidi="fa-IR"/>
        </w:rPr>
        <w:t xml:space="preserve"> Кредиторская задолженность на конец года сложилась в сумме 4908,6 тыс. рублей без учета бюджетного кредита и расчетов по налоговым доходам, в сравнении с прошлым периодом кредиторская задолженность уменьшилась более чем в 2 раза (на конец прошлого периода кредиторская задолженность составляла-10484,7 тыс. рублей).</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4. По состоянию на 01.01.2020 муниципальный долг составил 15200,0 тыс. рублей, что ниже прошлогоднего показателя на 700,0 тыс. рублей.</w:t>
      </w:r>
    </w:p>
    <w:p w:rsidR="008D182D" w:rsidRPr="008D182D" w:rsidRDefault="008D182D" w:rsidP="008D182D">
      <w:pPr>
        <w:shd w:val="clear" w:color="auto" w:fill="FFFFFF"/>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5.Расходы на обслуживание муниципального долга в 2020 году составили 1,6 тыс. рублей, что соответствует требованиям статьи 111 БК РФ. </w:t>
      </w:r>
    </w:p>
    <w:p w:rsidR="008D182D" w:rsidRPr="008D182D" w:rsidRDefault="008D182D" w:rsidP="008D182D">
      <w:pPr>
        <w:spacing w:after="0" w:line="322" w:lineRule="exact"/>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6.</w:t>
      </w:r>
      <w:r w:rsidRPr="008D182D">
        <w:rPr>
          <w:rFonts w:ascii="Times New Roman" w:eastAsia="Times New Roman" w:hAnsi="Times New Roman" w:cs="Times New Roman"/>
          <w:b/>
          <w:sz w:val="26"/>
          <w:szCs w:val="26"/>
          <w:lang w:eastAsia="ru-RU"/>
        </w:rPr>
        <w:t xml:space="preserve"> </w:t>
      </w:r>
      <w:r w:rsidRPr="008D182D">
        <w:rPr>
          <w:rFonts w:ascii="Times New Roman" w:eastAsia="Times New Roman" w:hAnsi="Times New Roman" w:cs="Times New Roman"/>
          <w:color w:val="000000"/>
          <w:sz w:val="26"/>
          <w:szCs w:val="26"/>
          <w:lang w:eastAsia="ru-RU"/>
        </w:rPr>
        <w:t>Остаток средств на счетах по учету средств бюджета по состоянию на 01.01.2022 года составил 5096,0 тыс. руб.</w:t>
      </w:r>
      <w:r w:rsidRPr="008D182D">
        <w:rPr>
          <w:rFonts w:ascii="Times New Roman" w:eastAsia="Times New Roman" w:hAnsi="Times New Roman" w:cs="Times New Roman"/>
          <w:sz w:val="26"/>
          <w:szCs w:val="26"/>
          <w:lang w:eastAsia="ru-RU"/>
        </w:rPr>
        <w:t>, в том числе целевые (субвенции, субсидии, иные межбюджетные трансферты) – 151,0 тыс. рублей, свободные остатки средств – 4945,0 тыс. рублей.</w:t>
      </w:r>
    </w:p>
    <w:p w:rsidR="008D182D" w:rsidRPr="008D182D" w:rsidRDefault="008D182D" w:rsidP="008D182D">
      <w:pPr>
        <w:keepNext/>
        <w:spacing w:after="0" w:line="240" w:lineRule="auto"/>
        <w:jc w:val="center"/>
        <w:outlineLvl w:val="0"/>
        <w:rPr>
          <w:rFonts w:ascii="Times New Roman" w:eastAsia="Times New Roman" w:hAnsi="Times New Roman" w:cs="Times New Roman"/>
          <w:b/>
          <w:sz w:val="26"/>
          <w:szCs w:val="26"/>
          <w:lang w:eastAsia="ru-RU"/>
        </w:rPr>
      </w:pPr>
      <w:bookmarkStart w:id="4" w:name="_Toc196977964"/>
      <w:bookmarkStart w:id="5" w:name="_Toc418160566"/>
      <w:bookmarkStart w:id="6" w:name="_Toc418161372"/>
      <w:bookmarkStart w:id="7" w:name="_Toc418162021"/>
      <w:r w:rsidRPr="008D182D">
        <w:rPr>
          <w:rFonts w:ascii="Times New Roman" w:eastAsia="Times New Roman" w:hAnsi="Times New Roman" w:cs="Times New Roman"/>
          <w:b/>
          <w:sz w:val="26"/>
          <w:szCs w:val="26"/>
          <w:lang w:eastAsia="ru-RU"/>
        </w:rPr>
        <w:t>Предложения:</w:t>
      </w:r>
      <w:bookmarkEnd w:id="4"/>
      <w:bookmarkEnd w:id="5"/>
      <w:bookmarkEnd w:id="6"/>
      <w:bookmarkEnd w:id="7"/>
    </w:p>
    <w:p w:rsidR="008D182D" w:rsidRPr="008D182D" w:rsidRDefault="008D182D" w:rsidP="008D182D">
      <w:pPr>
        <w:spacing w:after="0" w:line="240" w:lineRule="auto"/>
        <w:ind w:firstLine="708"/>
        <w:jc w:val="both"/>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 xml:space="preserve">Администрации Балахтинского района </w:t>
      </w:r>
    </w:p>
    <w:p w:rsidR="008D182D" w:rsidRPr="008D182D" w:rsidRDefault="008D182D" w:rsidP="008D182D">
      <w:pPr>
        <w:spacing w:after="0" w:line="240" w:lineRule="auto"/>
        <w:ind w:firstLine="708"/>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Принять меры по недопущению неэффективного использования средств районного бюджета</w:t>
      </w:r>
    </w:p>
    <w:p w:rsidR="008D182D" w:rsidRPr="008D182D" w:rsidRDefault="008D182D" w:rsidP="008D182D">
      <w:pPr>
        <w:spacing w:after="0" w:line="240" w:lineRule="auto"/>
        <w:ind w:firstLine="708"/>
        <w:jc w:val="both"/>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МКУ УИЗИЗ</w:t>
      </w:r>
    </w:p>
    <w:p w:rsidR="008D182D" w:rsidRPr="008D182D" w:rsidRDefault="008D182D" w:rsidP="008D182D">
      <w:pPr>
        <w:tabs>
          <w:tab w:val="left" w:pos="6450"/>
        </w:tabs>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Принять меры по своевременному взысканию недоимки по неналоговым доходам</w:t>
      </w:r>
    </w:p>
    <w:p w:rsidR="008D182D" w:rsidRPr="008D182D" w:rsidRDefault="008D182D" w:rsidP="008D182D">
      <w:pPr>
        <w:tabs>
          <w:tab w:val="left" w:pos="6450"/>
        </w:tabs>
        <w:spacing w:after="0" w:line="240" w:lineRule="auto"/>
        <w:jc w:val="both"/>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sz w:val="28"/>
          <w:szCs w:val="28"/>
          <w:lang w:eastAsia="ru-RU"/>
        </w:rPr>
        <w:t xml:space="preserve"> </w:t>
      </w:r>
      <w:r w:rsidRPr="008D182D">
        <w:rPr>
          <w:rFonts w:ascii="Times New Roman" w:eastAsia="Times New Roman" w:hAnsi="Times New Roman" w:cs="Times New Roman"/>
          <w:b/>
          <w:sz w:val="26"/>
          <w:szCs w:val="26"/>
          <w:lang w:eastAsia="ru-RU"/>
        </w:rPr>
        <w:t>Главным администраторам бюджетных средств</w:t>
      </w:r>
    </w:p>
    <w:p w:rsidR="008D182D" w:rsidRPr="008D182D" w:rsidRDefault="008D182D" w:rsidP="008D182D">
      <w:pPr>
        <w:tabs>
          <w:tab w:val="left" w:pos="6450"/>
        </w:tabs>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Принять меры по устранению нарушений и недостатков при составлении годовой бюджетной отчетности </w:t>
      </w:r>
    </w:p>
    <w:p w:rsidR="008D182D" w:rsidRPr="008D182D" w:rsidRDefault="008D182D" w:rsidP="008D182D">
      <w:pPr>
        <w:keepNext/>
        <w:spacing w:after="0" w:line="240" w:lineRule="auto"/>
        <w:jc w:val="both"/>
        <w:outlineLvl w:val="0"/>
        <w:rPr>
          <w:rFonts w:ascii="Times New Roman" w:eastAsia="Times New Roman" w:hAnsi="Times New Roman" w:cs="Times New Roman"/>
          <w:b/>
          <w:sz w:val="26"/>
          <w:szCs w:val="26"/>
          <w:lang w:eastAsia="ru-RU"/>
        </w:rPr>
      </w:pPr>
      <w:r w:rsidRPr="008D182D">
        <w:rPr>
          <w:rFonts w:ascii="Times New Roman" w:eastAsia="Times New Roman" w:hAnsi="Times New Roman" w:cs="Times New Roman"/>
          <w:b/>
          <w:sz w:val="26"/>
          <w:szCs w:val="26"/>
          <w:lang w:eastAsia="ru-RU"/>
        </w:rPr>
        <w:t>Балахтинскому районному Совету депутатов</w:t>
      </w:r>
    </w:p>
    <w:p w:rsidR="008D182D" w:rsidRPr="008D182D" w:rsidRDefault="008D182D" w:rsidP="008D182D">
      <w:pPr>
        <w:keepNext/>
        <w:spacing w:after="0" w:line="240" w:lineRule="auto"/>
        <w:jc w:val="both"/>
        <w:outlineLvl w:val="0"/>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         Рассмотреть заключение по результатам внешней проверки отчета об исполнения бюджета за 2021 год и рекомендовать к утверждению.</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 xml:space="preserve">Председатель Контрольно-счетного органа </w:t>
      </w:r>
    </w:p>
    <w:p w:rsidR="008D182D" w:rsidRPr="008D182D" w:rsidRDefault="008D182D" w:rsidP="008D182D">
      <w:pPr>
        <w:spacing w:after="0" w:line="240" w:lineRule="auto"/>
        <w:jc w:val="both"/>
        <w:rPr>
          <w:rFonts w:ascii="Times New Roman" w:eastAsia="Times New Roman" w:hAnsi="Times New Roman" w:cs="Times New Roman"/>
          <w:sz w:val="26"/>
          <w:szCs w:val="26"/>
          <w:lang w:eastAsia="ru-RU"/>
        </w:rPr>
      </w:pPr>
      <w:r w:rsidRPr="008D182D">
        <w:rPr>
          <w:rFonts w:ascii="Times New Roman" w:eastAsia="Times New Roman" w:hAnsi="Times New Roman" w:cs="Times New Roman"/>
          <w:sz w:val="26"/>
          <w:szCs w:val="26"/>
          <w:lang w:eastAsia="ru-RU"/>
        </w:rPr>
        <w:t>Балахтинского района                                                                                       Г.К.Хиревич</w:t>
      </w:r>
    </w:p>
    <w:p w:rsidR="00BB0C63" w:rsidRDefault="00BB0C63">
      <w:bookmarkStart w:id="8" w:name="_GoBack"/>
      <w:bookmarkEnd w:id="8"/>
    </w:p>
    <w:sectPr w:rsidR="00BB0C63" w:rsidSect="00CF71DE">
      <w:headerReference w:type="even" r:id="rId8"/>
      <w:pgSz w:w="11906" w:h="16838"/>
      <w:pgMar w:top="899" w:right="850" w:bottom="12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68" w:rsidRDefault="008D182D">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71D"/>
    <w:multiLevelType w:val="hybridMultilevel"/>
    <w:tmpl w:val="8640B8EA"/>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2" w15:restartNumberingAfterBreak="0">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D8A74DB"/>
    <w:multiLevelType w:val="hybridMultilevel"/>
    <w:tmpl w:val="9C4C9516"/>
    <w:lvl w:ilvl="0" w:tplc="0419000F">
      <w:start w:val="1"/>
      <w:numFmt w:val="decimal"/>
      <w:lvlText w:val="%1."/>
      <w:lvlJc w:val="left"/>
      <w:pPr>
        <w:ind w:left="144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AE5011"/>
    <w:multiLevelType w:val="hybridMultilevel"/>
    <w:tmpl w:val="E5BE6356"/>
    <w:lvl w:ilvl="0" w:tplc="637C174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561C4370"/>
    <w:multiLevelType w:val="hybridMultilevel"/>
    <w:tmpl w:val="1BE225F6"/>
    <w:lvl w:ilvl="0" w:tplc="48C65902">
      <w:start w:val="1"/>
      <w:numFmt w:val="decimal"/>
      <w:lvlText w:val="%1."/>
      <w:lvlJc w:val="left"/>
      <w:pPr>
        <w:ind w:left="7731" w:hanging="360"/>
      </w:pPr>
      <w:rPr>
        <w:rFonts w:cs="Times New Roman" w:hint="default"/>
      </w:rPr>
    </w:lvl>
    <w:lvl w:ilvl="1" w:tplc="04190019" w:tentative="1">
      <w:start w:val="1"/>
      <w:numFmt w:val="lowerLetter"/>
      <w:lvlText w:val="%2."/>
      <w:lvlJc w:val="left"/>
      <w:pPr>
        <w:ind w:left="8451" w:hanging="360"/>
      </w:pPr>
      <w:rPr>
        <w:rFonts w:cs="Times New Roman"/>
      </w:rPr>
    </w:lvl>
    <w:lvl w:ilvl="2" w:tplc="0419001B" w:tentative="1">
      <w:start w:val="1"/>
      <w:numFmt w:val="lowerRoman"/>
      <w:lvlText w:val="%3."/>
      <w:lvlJc w:val="right"/>
      <w:pPr>
        <w:ind w:left="9171" w:hanging="180"/>
      </w:pPr>
      <w:rPr>
        <w:rFonts w:cs="Times New Roman"/>
      </w:rPr>
    </w:lvl>
    <w:lvl w:ilvl="3" w:tplc="0419000F" w:tentative="1">
      <w:start w:val="1"/>
      <w:numFmt w:val="decimal"/>
      <w:lvlText w:val="%4."/>
      <w:lvlJc w:val="left"/>
      <w:pPr>
        <w:ind w:left="9891" w:hanging="360"/>
      </w:pPr>
      <w:rPr>
        <w:rFonts w:cs="Times New Roman"/>
      </w:rPr>
    </w:lvl>
    <w:lvl w:ilvl="4" w:tplc="04190019" w:tentative="1">
      <w:start w:val="1"/>
      <w:numFmt w:val="lowerLetter"/>
      <w:lvlText w:val="%5."/>
      <w:lvlJc w:val="left"/>
      <w:pPr>
        <w:ind w:left="10611" w:hanging="360"/>
      </w:pPr>
      <w:rPr>
        <w:rFonts w:cs="Times New Roman"/>
      </w:rPr>
    </w:lvl>
    <w:lvl w:ilvl="5" w:tplc="0419001B" w:tentative="1">
      <w:start w:val="1"/>
      <w:numFmt w:val="lowerRoman"/>
      <w:lvlText w:val="%6."/>
      <w:lvlJc w:val="right"/>
      <w:pPr>
        <w:ind w:left="11331" w:hanging="180"/>
      </w:pPr>
      <w:rPr>
        <w:rFonts w:cs="Times New Roman"/>
      </w:rPr>
    </w:lvl>
    <w:lvl w:ilvl="6" w:tplc="0419000F" w:tentative="1">
      <w:start w:val="1"/>
      <w:numFmt w:val="decimal"/>
      <w:lvlText w:val="%7."/>
      <w:lvlJc w:val="left"/>
      <w:pPr>
        <w:ind w:left="12051" w:hanging="360"/>
      </w:pPr>
      <w:rPr>
        <w:rFonts w:cs="Times New Roman"/>
      </w:rPr>
    </w:lvl>
    <w:lvl w:ilvl="7" w:tplc="04190019" w:tentative="1">
      <w:start w:val="1"/>
      <w:numFmt w:val="lowerLetter"/>
      <w:lvlText w:val="%8."/>
      <w:lvlJc w:val="left"/>
      <w:pPr>
        <w:ind w:left="12771" w:hanging="360"/>
      </w:pPr>
      <w:rPr>
        <w:rFonts w:cs="Times New Roman"/>
      </w:rPr>
    </w:lvl>
    <w:lvl w:ilvl="8" w:tplc="0419001B" w:tentative="1">
      <w:start w:val="1"/>
      <w:numFmt w:val="lowerRoman"/>
      <w:lvlText w:val="%9."/>
      <w:lvlJc w:val="right"/>
      <w:pPr>
        <w:ind w:left="13491" w:hanging="180"/>
      </w:pPr>
      <w:rPr>
        <w:rFonts w:cs="Times New Roman"/>
      </w:rPr>
    </w:lvl>
  </w:abstractNum>
  <w:abstractNum w:abstractNumId="6" w15:restartNumberingAfterBreak="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6AA211EA"/>
    <w:multiLevelType w:val="hybridMultilevel"/>
    <w:tmpl w:val="64D4AFAC"/>
    <w:lvl w:ilvl="0" w:tplc="4BA0A6A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6F2816D9"/>
    <w:multiLevelType w:val="hybridMultilevel"/>
    <w:tmpl w:val="86A4AF4A"/>
    <w:lvl w:ilvl="0" w:tplc="1CE628A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74CE501A"/>
    <w:multiLevelType w:val="hybridMultilevel"/>
    <w:tmpl w:val="FD1A6FDA"/>
    <w:lvl w:ilvl="0" w:tplc="3CC6E1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6"/>
  </w:num>
  <w:num w:numId="4">
    <w:abstractNumId w:val="5"/>
  </w:num>
  <w:num w:numId="5">
    <w:abstractNumId w:val="8"/>
  </w:num>
  <w:num w:numId="6">
    <w:abstractNumId w:val="7"/>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02"/>
    <w:rsid w:val="003C4B02"/>
    <w:rsid w:val="008D182D"/>
    <w:rsid w:val="00BB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D488-EA3D-4D6B-A41D-1F8700A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D182D"/>
    <w:pPr>
      <w:keepNext/>
      <w:spacing w:after="0" w:line="240" w:lineRule="auto"/>
      <w:ind w:left="-567" w:right="-766" w:firstLine="567"/>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qFormat/>
    <w:rsid w:val="008D182D"/>
    <w:pPr>
      <w:keepNext/>
      <w:spacing w:after="0" w:line="240" w:lineRule="auto"/>
      <w:ind w:left="-284" w:right="-1192" w:firstLine="851"/>
      <w:jc w:val="right"/>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82D"/>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8D182D"/>
    <w:rPr>
      <w:rFonts w:ascii="Times New Roman" w:eastAsia="Times New Roman" w:hAnsi="Times New Roman" w:cs="Times New Roman"/>
      <w:sz w:val="24"/>
      <w:szCs w:val="20"/>
      <w:lang w:eastAsia="ru-RU"/>
    </w:rPr>
  </w:style>
  <w:style w:type="paragraph" w:styleId="a3">
    <w:name w:val="Balloon Text"/>
    <w:basedOn w:val="a"/>
    <w:link w:val="a4"/>
    <w:semiHidden/>
    <w:unhideWhenUsed/>
    <w:rsid w:val="008D182D"/>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8D182D"/>
    <w:rPr>
      <w:rFonts w:ascii="Segoe UI" w:hAnsi="Segoe UI" w:cs="Segoe UI"/>
      <w:sz w:val="18"/>
      <w:szCs w:val="18"/>
    </w:rPr>
  </w:style>
  <w:style w:type="numbering" w:customStyle="1" w:styleId="11">
    <w:name w:val="Нет списка1"/>
    <w:next w:val="a2"/>
    <w:semiHidden/>
    <w:rsid w:val="008D182D"/>
  </w:style>
  <w:style w:type="paragraph" w:customStyle="1" w:styleId="Style7">
    <w:name w:val="Style7"/>
    <w:basedOn w:val="a"/>
    <w:rsid w:val="008D182D"/>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8D182D"/>
    <w:rPr>
      <w:rFonts w:ascii="Times New Roman" w:hAnsi="Times New Roman" w:cs="Times New Roman"/>
      <w:sz w:val="20"/>
      <w:szCs w:val="20"/>
    </w:rPr>
  </w:style>
  <w:style w:type="paragraph" w:customStyle="1" w:styleId="Style5">
    <w:name w:val="Style5"/>
    <w:basedOn w:val="a"/>
    <w:rsid w:val="008D182D"/>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8D182D"/>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8D182D"/>
    <w:rPr>
      <w:rFonts w:ascii="Times New Roman" w:hAnsi="Times New Roman" w:cs="Times New Roman"/>
      <w:b/>
      <w:bCs/>
      <w:i/>
      <w:iCs/>
      <w:sz w:val="22"/>
      <w:szCs w:val="22"/>
    </w:rPr>
  </w:style>
  <w:style w:type="paragraph" w:customStyle="1" w:styleId="Style4">
    <w:name w:val="Style4"/>
    <w:basedOn w:val="a"/>
    <w:rsid w:val="008D182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8D182D"/>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8D182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8D182D"/>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5">
    <w:name w:val="Table Grid"/>
    <w:basedOn w:val="a1"/>
    <w:rsid w:val="008D18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8D182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D182D"/>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8D182D"/>
    <w:rPr>
      <w:rFonts w:ascii="Book Antiqua" w:hAnsi="Book Antiqua" w:cs="Book Antiqua"/>
      <w:b/>
      <w:bCs/>
      <w:sz w:val="20"/>
      <w:szCs w:val="20"/>
    </w:rPr>
  </w:style>
  <w:style w:type="paragraph" w:styleId="a6">
    <w:name w:val="header"/>
    <w:basedOn w:val="a"/>
    <w:link w:val="a7"/>
    <w:rsid w:val="008D18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D182D"/>
    <w:rPr>
      <w:rFonts w:ascii="Times New Roman" w:eastAsia="Times New Roman" w:hAnsi="Times New Roman" w:cs="Times New Roman"/>
      <w:sz w:val="24"/>
      <w:szCs w:val="24"/>
      <w:lang w:eastAsia="ru-RU"/>
    </w:rPr>
  </w:style>
  <w:style w:type="paragraph" w:styleId="a8">
    <w:name w:val="footer"/>
    <w:basedOn w:val="a"/>
    <w:link w:val="a9"/>
    <w:rsid w:val="008D182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D182D"/>
    <w:rPr>
      <w:rFonts w:ascii="Times New Roman" w:eastAsia="Times New Roman" w:hAnsi="Times New Roman" w:cs="Times New Roman"/>
      <w:sz w:val="24"/>
      <w:szCs w:val="24"/>
      <w:lang w:eastAsia="ru-RU"/>
    </w:rPr>
  </w:style>
  <w:style w:type="paragraph" w:customStyle="1" w:styleId="Style6">
    <w:name w:val="Style6"/>
    <w:basedOn w:val="a"/>
    <w:rsid w:val="008D182D"/>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8D182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8D182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8D182D"/>
    <w:rPr>
      <w:rFonts w:ascii="Times New Roman" w:hAnsi="Times New Roman" w:cs="Times New Roman"/>
      <w:b/>
      <w:bCs/>
      <w:sz w:val="8"/>
      <w:szCs w:val="8"/>
    </w:rPr>
  </w:style>
  <w:style w:type="character" w:customStyle="1" w:styleId="FontStyle31">
    <w:name w:val="Font Style31"/>
    <w:rsid w:val="008D182D"/>
    <w:rPr>
      <w:rFonts w:ascii="Times New Roman" w:hAnsi="Times New Roman" w:cs="Times New Roman"/>
      <w:b/>
      <w:bCs/>
      <w:sz w:val="12"/>
      <w:szCs w:val="12"/>
    </w:rPr>
  </w:style>
  <w:style w:type="character" w:customStyle="1" w:styleId="FontStyle32">
    <w:name w:val="Font Style32"/>
    <w:rsid w:val="008D182D"/>
    <w:rPr>
      <w:rFonts w:ascii="Times New Roman" w:hAnsi="Times New Roman" w:cs="Times New Roman"/>
      <w:i/>
      <w:iCs/>
      <w:sz w:val="20"/>
      <w:szCs w:val="20"/>
    </w:rPr>
  </w:style>
  <w:style w:type="character" w:customStyle="1" w:styleId="FontStyle33">
    <w:name w:val="Font Style33"/>
    <w:rsid w:val="008D182D"/>
    <w:rPr>
      <w:rFonts w:ascii="Times New Roman" w:hAnsi="Times New Roman" w:cs="Times New Roman"/>
      <w:sz w:val="18"/>
      <w:szCs w:val="18"/>
    </w:rPr>
  </w:style>
  <w:style w:type="paragraph" w:customStyle="1" w:styleId="Style1">
    <w:name w:val="Style1"/>
    <w:basedOn w:val="a"/>
    <w:rsid w:val="008D182D"/>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8D182D"/>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a">
    <w:name w:val="Document Map"/>
    <w:basedOn w:val="a"/>
    <w:link w:val="ab"/>
    <w:semiHidden/>
    <w:rsid w:val="008D182D"/>
    <w:pPr>
      <w:shd w:val="clear" w:color="auto" w:fill="000080"/>
      <w:spacing w:after="0" w:line="240" w:lineRule="auto"/>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8D182D"/>
    <w:rPr>
      <w:rFonts w:ascii="Tahoma" w:eastAsia="Times New Roman" w:hAnsi="Tahoma" w:cs="Tahoma"/>
      <w:sz w:val="20"/>
      <w:szCs w:val="20"/>
      <w:shd w:val="clear" w:color="auto" w:fill="000080"/>
      <w:lang w:eastAsia="ru-RU"/>
    </w:rPr>
  </w:style>
  <w:style w:type="paragraph" w:customStyle="1" w:styleId="ac">
    <w:name w:val="Стиль"/>
    <w:rsid w:val="008D18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8D182D"/>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8D182D"/>
    <w:rPr>
      <w:rFonts w:ascii="Times New Roman" w:eastAsia="Calibri" w:hAnsi="Times New Roman" w:cs="Times New Roman"/>
      <w:sz w:val="24"/>
      <w:szCs w:val="24"/>
      <w:lang w:eastAsia="ru-RU"/>
    </w:rPr>
  </w:style>
  <w:style w:type="paragraph" w:customStyle="1" w:styleId="12">
    <w:name w:val="Абзац списка1"/>
    <w:basedOn w:val="a"/>
    <w:rsid w:val="008D182D"/>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8D182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D182D"/>
    <w:rPr>
      <w:rFonts w:ascii="Times New Roman" w:eastAsia="Times New Roman" w:hAnsi="Times New Roman" w:cs="Times New Roman"/>
      <w:sz w:val="16"/>
      <w:szCs w:val="16"/>
      <w:lang w:eastAsia="ru-RU"/>
    </w:rPr>
  </w:style>
  <w:style w:type="paragraph" w:styleId="af">
    <w:name w:val="Title"/>
    <w:basedOn w:val="a"/>
    <w:link w:val="af0"/>
    <w:qFormat/>
    <w:rsid w:val="008D182D"/>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Заголовок Знак"/>
    <w:basedOn w:val="a0"/>
    <w:link w:val="af"/>
    <w:rsid w:val="008D182D"/>
    <w:rPr>
      <w:rFonts w:ascii="Times New Roman" w:eastAsia="Calibri" w:hAnsi="Times New Roman" w:cs="Times New Roman"/>
      <w:b/>
      <w:bCs/>
      <w:sz w:val="28"/>
      <w:szCs w:val="24"/>
      <w:lang w:eastAsia="ru-RU"/>
    </w:rPr>
  </w:style>
  <w:style w:type="character" w:styleId="af1">
    <w:name w:val="footnote reference"/>
    <w:semiHidden/>
    <w:rsid w:val="008D182D"/>
    <w:rPr>
      <w:rFonts w:cs="Times New Roman"/>
      <w:vertAlign w:val="superscript"/>
    </w:rPr>
  </w:style>
  <w:style w:type="paragraph" w:customStyle="1" w:styleId="ConsPlusNonformat">
    <w:name w:val="ConsPlusNonformat"/>
    <w:rsid w:val="008D182D"/>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Основной текст_"/>
    <w:link w:val="13"/>
    <w:rsid w:val="008D182D"/>
    <w:rPr>
      <w:sz w:val="27"/>
      <w:szCs w:val="27"/>
      <w:shd w:val="clear" w:color="auto" w:fill="FFFFFF"/>
    </w:rPr>
  </w:style>
  <w:style w:type="paragraph" w:customStyle="1" w:styleId="13">
    <w:name w:val="Основной текст1"/>
    <w:basedOn w:val="a"/>
    <w:link w:val="af2"/>
    <w:rsid w:val="008D182D"/>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8D18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8D182D"/>
    <w:rPr>
      <w:rFonts w:ascii="Courier New" w:eastAsia="Times New Roman" w:hAnsi="Courier New" w:cs="Courier New"/>
      <w:sz w:val="20"/>
      <w:szCs w:val="20"/>
      <w:lang w:eastAsia="ru-RU"/>
    </w:rPr>
  </w:style>
  <w:style w:type="paragraph" w:customStyle="1" w:styleId="Default">
    <w:name w:val="Default"/>
    <w:rsid w:val="008D18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8D1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182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2"/>
    <w:basedOn w:val="a"/>
    <w:rsid w:val="008D182D"/>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styleId="af3">
    <w:name w:val="Normal (Web)"/>
    <w:basedOn w:val="a"/>
    <w:rsid w:val="008D182D"/>
    <w:pPr>
      <w:spacing w:after="75" w:line="240" w:lineRule="auto"/>
    </w:pPr>
    <w:rPr>
      <w:rFonts w:ascii="Verdana" w:eastAsia="Times New Roman" w:hAnsi="Verdana" w:cs="Times New Roman"/>
      <w:color w:val="000000"/>
      <w:sz w:val="18"/>
      <w:szCs w:val="18"/>
      <w:lang w:eastAsia="ru-RU"/>
    </w:rPr>
  </w:style>
  <w:style w:type="character" w:styleId="af4">
    <w:name w:val="Strong"/>
    <w:qFormat/>
    <w:rsid w:val="008D182D"/>
    <w:rPr>
      <w:b/>
      <w:bCs/>
    </w:rPr>
  </w:style>
  <w:style w:type="paragraph" w:styleId="af5">
    <w:name w:val="caption"/>
    <w:basedOn w:val="a"/>
    <w:next w:val="a"/>
    <w:qFormat/>
    <w:rsid w:val="008D182D"/>
    <w:pPr>
      <w:spacing w:after="0" w:line="240" w:lineRule="auto"/>
    </w:pPr>
    <w:rPr>
      <w:rFonts w:ascii="Times New Roman" w:eastAsia="Times New Roman" w:hAnsi="Times New Roman" w:cs="Times New Roman"/>
      <w:b/>
      <w:bCs/>
      <w:sz w:val="20"/>
      <w:szCs w:val="20"/>
      <w:lang w:eastAsia="ru-RU"/>
    </w:rPr>
  </w:style>
  <w:style w:type="paragraph" w:styleId="af6">
    <w:name w:val="No Spacing"/>
    <w:qFormat/>
    <w:rsid w:val="008D182D"/>
    <w:pPr>
      <w:suppressAutoHyphens/>
      <w:spacing w:after="0" w:line="240" w:lineRule="auto"/>
    </w:pPr>
    <w:rPr>
      <w:rFonts w:ascii="Calibri" w:eastAsia="Calibri" w:hAnsi="Calibri" w:cs="Calibri"/>
      <w:lang w:eastAsia="ar-SA"/>
    </w:rPr>
  </w:style>
  <w:style w:type="paragraph" w:styleId="af7">
    <w:name w:val="List Paragraph"/>
    <w:basedOn w:val="a"/>
    <w:link w:val="af8"/>
    <w:uiPriority w:val="34"/>
    <w:qFormat/>
    <w:rsid w:val="008D182D"/>
    <w:pPr>
      <w:spacing w:after="200" w:line="276" w:lineRule="auto"/>
      <w:ind w:left="720"/>
      <w:contextualSpacing/>
    </w:pPr>
    <w:rPr>
      <w:rFonts w:eastAsiaTheme="minorEastAsia"/>
      <w:lang w:eastAsia="ru-RU"/>
    </w:rPr>
  </w:style>
  <w:style w:type="paragraph" w:customStyle="1" w:styleId="Textbody">
    <w:name w:val="Text body"/>
    <w:basedOn w:val="a"/>
    <w:rsid w:val="008D182D"/>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af8">
    <w:name w:val="Абзац списка Знак"/>
    <w:link w:val="af7"/>
    <w:uiPriority w:val="34"/>
    <w:locked/>
    <w:rsid w:val="008D182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Налоговые доходы районного бюджета</a:t>
            </a:r>
          </a:p>
        </c:rich>
      </c:tx>
      <c:layout>
        <c:manualLayout>
          <c:xMode val="edge"/>
          <c:yMode val="edge"/>
          <c:x val="0.22017935258092738"/>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2020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Налог на доходы физических лиц </c:v>
                </c:pt>
                <c:pt idx="1">
                  <c:v>Налог на прибыль организаций</c:v>
                </c:pt>
                <c:pt idx="2">
                  <c:v>Налоги на совокупный доход</c:v>
                </c:pt>
                <c:pt idx="3">
                  <c:v>Государственная пошлина </c:v>
                </c:pt>
                <c:pt idx="4">
                  <c:v>Задолженность по отмененным налогам </c:v>
                </c:pt>
              </c:strCache>
            </c:strRef>
          </c:cat>
          <c:val>
            <c:numRef>
              <c:f>Лист1!$B$2:$B$6</c:f>
              <c:numCache>
                <c:formatCode>General</c:formatCode>
                <c:ptCount val="5"/>
                <c:pt idx="0">
                  <c:v>69350.7</c:v>
                </c:pt>
                <c:pt idx="1">
                  <c:v>11069.7</c:v>
                </c:pt>
                <c:pt idx="2">
                  <c:v>14010</c:v>
                </c:pt>
                <c:pt idx="3">
                  <c:v>2401.1</c:v>
                </c:pt>
                <c:pt idx="4">
                  <c:v>14.1</c:v>
                </c:pt>
              </c:numCache>
            </c:numRef>
          </c:val>
          <c:extLst>
            <c:ext xmlns:c16="http://schemas.microsoft.com/office/drawing/2014/chart" uri="{C3380CC4-5D6E-409C-BE32-E72D297353CC}">
              <c16:uniqueId val="{00000000-FFF3-4306-82F6-EFC7575A7214}"/>
            </c:ext>
          </c:extLst>
        </c:ser>
        <c:ser>
          <c:idx val="1"/>
          <c:order val="1"/>
          <c:tx>
            <c:strRef>
              <c:f>Лист1!$C$1</c:f>
              <c:strCache>
                <c:ptCount val="1"/>
                <c:pt idx="0">
                  <c:v>2021 год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Налог на доходы физических лиц </c:v>
                </c:pt>
                <c:pt idx="1">
                  <c:v>Налог на прибыль организаций</c:v>
                </c:pt>
                <c:pt idx="2">
                  <c:v>Налоги на совокупный доход</c:v>
                </c:pt>
                <c:pt idx="3">
                  <c:v>Государственная пошлина </c:v>
                </c:pt>
                <c:pt idx="4">
                  <c:v>Задолженность по отмененным налогам </c:v>
                </c:pt>
              </c:strCache>
            </c:strRef>
          </c:cat>
          <c:val>
            <c:numRef>
              <c:f>Лист1!$C$2:$C$6</c:f>
              <c:numCache>
                <c:formatCode>General</c:formatCode>
                <c:ptCount val="5"/>
                <c:pt idx="0">
                  <c:v>75948.100000000006</c:v>
                </c:pt>
                <c:pt idx="1">
                  <c:v>14857.3</c:v>
                </c:pt>
                <c:pt idx="2">
                  <c:v>24187.1</c:v>
                </c:pt>
                <c:pt idx="3">
                  <c:v>2439</c:v>
                </c:pt>
                <c:pt idx="4">
                  <c:v>1.1000000000000001</c:v>
                </c:pt>
              </c:numCache>
            </c:numRef>
          </c:val>
          <c:extLst>
            <c:ext xmlns:c16="http://schemas.microsoft.com/office/drawing/2014/chart" uri="{C3380CC4-5D6E-409C-BE32-E72D297353CC}">
              <c16:uniqueId val="{00000001-FFF3-4306-82F6-EFC7575A7214}"/>
            </c:ext>
          </c:extLst>
        </c:ser>
        <c:ser>
          <c:idx val="2"/>
          <c:order val="2"/>
          <c:tx>
            <c:strRef>
              <c:f>Лист1!$D$1</c:f>
              <c:strCache>
                <c:ptCount val="1"/>
                <c:pt idx="0">
                  <c:v>Столбец1</c:v>
                </c:pt>
              </c:strCache>
            </c:strRef>
          </c:tx>
          <c:spPr>
            <a:solidFill>
              <a:schemeClr val="accent3"/>
            </a:solidFill>
            <a:ln>
              <a:noFill/>
            </a:ln>
            <a:effectLst/>
          </c:spPr>
          <c:invertIfNegative val="0"/>
          <c:dLbls>
            <c:delete val="1"/>
          </c:dLbls>
          <c:cat>
            <c:strRef>
              <c:f>Лист1!$A$2:$A$6</c:f>
              <c:strCache>
                <c:ptCount val="5"/>
                <c:pt idx="0">
                  <c:v>Налог на доходы физических лиц </c:v>
                </c:pt>
                <c:pt idx="1">
                  <c:v>Налог на прибыль организаций</c:v>
                </c:pt>
                <c:pt idx="2">
                  <c:v>Налоги на совокупный доход</c:v>
                </c:pt>
                <c:pt idx="3">
                  <c:v>Государственная пошлина </c:v>
                </c:pt>
                <c:pt idx="4">
                  <c:v>Задолженность по отмененным налогам </c:v>
                </c:pt>
              </c:strCache>
            </c:strRef>
          </c:cat>
          <c:val>
            <c:numRef>
              <c:f>Лист1!$D$2:$D$6</c:f>
              <c:numCache>
                <c:formatCode>General</c:formatCode>
                <c:ptCount val="5"/>
                <c:pt idx="0">
                  <c:v>2</c:v>
                </c:pt>
                <c:pt idx="1">
                  <c:v>2</c:v>
                </c:pt>
                <c:pt idx="2">
                  <c:v>3</c:v>
                </c:pt>
                <c:pt idx="3">
                  <c:v>5</c:v>
                </c:pt>
              </c:numCache>
            </c:numRef>
          </c:val>
          <c:extLst>
            <c:ext xmlns:c16="http://schemas.microsoft.com/office/drawing/2014/chart" uri="{C3380CC4-5D6E-409C-BE32-E72D297353CC}">
              <c16:uniqueId val="{00000002-FFF3-4306-82F6-EFC7575A7214}"/>
            </c:ext>
          </c:extLst>
        </c:ser>
        <c:dLbls>
          <c:dLblPos val="outEnd"/>
          <c:showLegendKey val="0"/>
          <c:showVal val="1"/>
          <c:showCatName val="0"/>
          <c:showSerName val="0"/>
          <c:showPercent val="0"/>
          <c:showBubbleSize val="0"/>
        </c:dLbls>
        <c:gapWidth val="182"/>
        <c:axId val="387004352"/>
        <c:axId val="387008944"/>
      </c:barChart>
      <c:catAx>
        <c:axId val="38700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008944"/>
        <c:crosses val="autoZero"/>
        <c:auto val="1"/>
        <c:lblAlgn val="ctr"/>
        <c:lblOffset val="100"/>
        <c:noMultiLvlLbl val="0"/>
      </c:catAx>
      <c:valAx>
        <c:axId val="387008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00435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Безвозмездные поступления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2021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General</c:formatCode>
                <c:ptCount val="4"/>
                <c:pt idx="0">
                  <c:v>464630.1</c:v>
                </c:pt>
                <c:pt idx="1">
                  <c:v>147766.5</c:v>
                </c:pt>
                <c:pt idx="2">
                  <c:v>395942.1</c:v>
                </c:pt>
                <c:pt idx="3">
                  <c:v>131247.5</c:v>
                </c:pt>
              </c:numCache>
            </c:numRef>
          </c:val>
          <c:extLst>
            <c:ext xmlns:c16="http://schemas.microsoft.com/office/drawing/2014/chart" uri="{C3380CC4-5D6E-409C-BE32-E72D297353CC}">
              <c16:uniqueId val="{00000000-1FC3-464B-AD59-12C6E3D9C897}"/>
            </c:ext>
          </c:extLst>
        </c:ser>
        <c:ser>
          <c:idx val="1"/>
          <c:order val="1"/>
          <c:tx>
            <c:strRef>
              <c:f>Лист1!$C$1</c:f>
              <c:strCache>
                <c:ptCount val="1"/>
                <c:pt idx="0">
                  <c:v>2020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General</c:formatCode>
                <c:ptCount val="4"/>
                <c:pt idx="0">
                  <c:v>417836.79999999999</c:v>
                </c:pt>
                <c:pt idx="1">
                  <c:v>215759.1</c:v>
                </c:pt>
                <c:pt idx="2">
                  <c:v>359949.4</c:v>
                </c:pt>
                <c:pt idx="3">
                  <c:v>65924</c:v>
                </c:pt>
              </c:numCache>
            </c:numRef>
          </c:val>
          <c:extLst>
            <c:ext xmlns:c16="http://schemas.microsoft.com/office/drawing/2014/chart" uri="{C3380CC4-5D6E-409C-BE32-E72D297353CC}">
              <c16:uniqueId val="{00000001-1FC3-464B-AD59-12C6E3D9C897}"/>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Лист1!$D$2:$D$5</c:f>
              <c:numCache>
                <c:formatCode>General</c:formatCode>
                <c:ptCount val="4"/>
              </c:numCache>
            </c:numRef>
          </c:val>
          <c:extLst>
            <c:ext xmlns:c16="http://schemas.microsoft.com/office/drawing/2014/chart" uri="{C3380CC4-5D6E-409C-BE32-E72D297353CC}">
              <c16:uniqueId val="{00000002-1FC3-464B-AD59-12C6E3D9C897}"/>
            </c:ext>
          </c:extLst>
        </c:ser>
        <c:dLbls>
          <c:dLblPos val="outEnd"/>
          <c:showLegendKey val="0"/>
          <c:showVal val="1"/>
          <c:showCatName val="0"/>
          <c:showSerName val="0"/>
          <c:showPercent val="0"/>
          <c:showBubbleSize val="0"/>
        </c:dLbls>
        <c:gapWidth val="219"/>
        <c:axId val="386380512"/>
        <c:axId val="386379856"/>
      </c:barChart>
      <c:catAx>
        <c:axId val="386380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379856"/>
        <c:crosses val="autoZero"/>
        <c:auto val="1"/>
        <c:lblAlgn val="ctr"/>
        <c:lblOffset val="100"/>
        <c:noMultiLvlLbl val="0"/>
      </c:catAx>
      <c:valAx>
        <c:axId val="3863798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86380512"/>
        <c:crosses val="autoZero"/>
        <c:crossBetween val="between"/>
      </c:valAx>
      <c:spPr>
        <a:noFill/>
        <a:ln w="25400">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498632983377078"/>
          <c:y val="8.7658730158730172E-2"/>
          <c:w val="0.46964329979585884"/>
          <c:h val="0.66998656417947755"/>
        </c:manualLayout>
      </c:layout>
      <c:barChart>
        <c:barDir val="bar"/>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Безопасные и качественные автомобильные дороги</c:v>
                </c:pt>
                <c:pt idx="1">
                  <c:v>Цифровая экономика</c:v>
                </c:pt>
                <c:pt idx="3">
                  <c:v>Жилье и городская среда </c:v>
                </c:pt>
                <c:pt idx="4">
                  <c:v>Образование </c:v>
                </c:pt>
                <c:pt idx="5">
                  <c:v>Культура </c:v>
                </c:pt>
              </c:strCache>
            </c:strRef>
          </c:cat>
          <c:val>
            <c:numRef>
              <c:f>Лист1!$B$2:$B$8</c:f>
              <c:numCache>
                <c:formatCode>General</c:formatCode>
                <c:ptCount val="7"/>
                <c:pt idx="0">
                  <c:v>1192.3</c:v>
                </c:pt>
                <c:pt idx="1">
                  <c:v>5328.9</c:v>
                </c:pt>
                <c:pt idx="3">
                  <c:v>10000</c:v>
                </c:pt>
                <c:pt idx="4">
                  <c:v>4505</c:v>
                </c:pt>
                <c:pt idx="5">
                  <c:v>784.9</c:v>
                </c:pt>
              </c:numCache>
            </c:numRef>
          </c:val>
          <c:extLst>
            <c:ext xmlns:c16="http://schemas.microsoft.com/office/drawing/2014/chart" uri="{C3380CC4-5D6E-409C-BE32-E72D297353CC}">
              <c16:uniqueId val="{00000000-B82E-49E6-9CAA-B243E523CA3E}"/>
            </c:ext>
          </c:extLst>
        </c:ser>
        <c:ser>
          <c:idx val="1"/>
          <c:order val="1"/>
          <c:tx>
            <c:strRef>
              <c:f>Лист1!$C$1</c:f>
              <c:strCache>
                <c:ptCount val="1"/>
                <c:pt idx="0">
                  <c:v>Столбец2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Безопасные и качественные автомобильные дороги</c:v>
                </c:pt>
                <c:pt idx="1">
                  <c:v>Цифровая экономика</c:v>
                </c:pt>
                <c:pt idx="3">
                  <c:v>Жилье и городская среда </c:v>
                </c:pt>
                <c:pt idx="4">
                  <c:v>Образование </c:v>
                </c:pt>
                <c:pt idx="5">
                  <c:v>Культура </c:v>
                </c:pt>
              </c:strCache>
            </c:strRef>
          </c:cat>
          <c:val>
            <c:numRef>
              <c:f>Лист1!$C$2:$C$8</c:f>
              <c:numCache>
                <c:formatCode>General</c:formatCode>
                <c:ptCount val="7"/>
              </c:numCache>
            </c:numRef>
          </c:val>
          <c:extLst>
            <c:ext xmlns:c16="http://schemas.microsoft.com/office/drawing/2014/chart" uri="{C3380CC4-5D6E-409C-BE32-E72D297353CC}">
              <c16:uniqueId val="{00000001-B82E-49E6-9CAA-B243E523CA3E}"/>
            </c:ext>
          </c:extLst>
        </c:ser>
        <c:ser>
          <c:idx val="2"/>
          <c:order val="2"/>
          <c:tx>
            <c:strRef>
              <c:f>Лист1!$D$1</c:f>
              <c:strCache>
                <c:ptCount val="1"/>
                <c:pt idx="0">
                  <c:v>Столбец3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Безопасные и качественные автомобильные дороги</c:v>
                </c:pt>
                <c:pt idx="1">
                  <c:v>Цифровая экономика</c:v>
                </c:pt>
                <c:pt idx="3">
                  <c:v>Жилье и городская среда </c:v>
                </c:pt>
                <c:pt idx="4">
                  <c:v>Образование </c:v>
                </c:pt>
                <c:pt idx="5">
                  <c:v>Культура </c:v>
                </c:pt>
              </c:strCache>
            </c:strRef>
          </c:cat>
          <c:val>
            <c:numRef>
              <c:f>Лист1!$D$2:$D$8</c:f>
              <c:numCache>
                <c:formatCode>General</c:formatCode>
                <c:ptCount val="7"/>
              </c:numCache>
            </c:numRef>
          </c:val>
          <c:extLst>
            <c:ext xmlns:c16="http://schemas.microsoft.com/office/drawing/2014/chart" uri="{C3380CC4-5D6E-409C-BE32-E72D297353CC}">
              <c16:uniqueId val="{00000002-B82E-49E6-9CAA-B243E523CA3E}"/>
            </c:ext>
          </c:extLst>
        </c:ser>
        <c:dLbls>
          <c:dLblPos val="outEnd"/>
          <c:showLegendKey val="0"/>
          <c:showVal val="1"/>
          <c:showCatName val="0"/>
          <c:showSerName val="0"/>
          <c:showPercent val="0"/>
          <c:showBubbleSize val="0"/>
        </c:dLbls>
        <c:gapWidth val="182"/>
        <c:axId val="340201056"/>
        <c:axId val="340201384"/>
      </c:barChart>
      <c:catAx>
        <c:axId val="340201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201384"/>
        <c:crosses val="autoZero"/>
        <c:auto val="1"/>
        <c:lblAlgn val="ctr"/>
        <c:lblOffset val="100"/>
        <c:noMultiLvlLbl val="0"/>
      </c:catAx>
      <c:valAx>
        <c:axId val="3402013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4020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2022-05-05T06:54:00Z</dcterms:created>
  <dcterms:modified xsi:type="dcterms:W3CDTF">2022-05-05T06:54:00Z</dcterms:modified>
</cp:coreProperties>
</file>