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DF" w:rsidRPr="00597BDF" w:rsidRDefault="00597BDF" w:rsidP="00597BD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7B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КОНТРОЛЬНО-СЧЕТНЫЙ ОРГАН БАЛАХТИНСКОГО РАЙОНА</w:t>
      </w:r>
    </w:p>
    <w:p w:rsidR="00597BDF" w:rsidRPr="00597BDF" w:rsidRDefault="00597BDF" w:rsidP="00597BD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597BDF" w:rsidRPr="00597BDF" w:rsidRDefault="00597BDF" w:rsidP="00597BD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597BDF" w:rsidRPr="00597BDF" w:rsidRDefault="00597BDF" w:rsidP="00597BDF">
      <w:pPr>
        <w:tabs>
          <w:tab w:val="left" w:pos="3836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DF" w:rsidRPr="007F1D2A" w:rsidRDefault="00597BDF" w:rsidP="00597BDF">
      <w:pPr>
        <w:tabs>
          <w:tab w:val="left" w:pos="3836"/>
        </w:tabs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D2A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97BDF" w:rsidRPr="007F1D2A" w:rsidRDefault="00597BDF" w:rsidP="00597BDF">
      <w:pPr>
        <w:widowControl w:val="0"/>
        <w:suppressAutoHyphens/>
        <w:spacing w:after="0" w:line="240" w:lineRule="atLeast"/>
        <w:ind w:hanging="15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</w:pPr>
      <w:r w:rsidRPr="007F1D2A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на годовой отчёт об исполнении районного бюджета </w:t>
      </w:r>
    </w:p>
    <w:p w:rsidR="00597BDF" w:rsidRPr="007F1D2A" w:rsidRDefault="00597BDF" w:rsidP="00597BDF">
      <w:pPr>
        <w:widowControl w:val="0"/>
        <w:suppressAutoHyphens/>
        <w:spacing w:after="0" w:line="240" w:lineRule="atLeast"/>
        <w:ind w:hanging="15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</w:pPr>
      <w:r w:rsidRPr="007F1D2A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муниципального образования Балахтинский район за 202</w:t>
      </w:r>
      <w:r w:rsidR="00CF71DE" w:rsidRPr="007F1D2A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1</w:t>
      </w:r>
      <w:r w:rsidRPr="007F1D2A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 год</w:t>
      </w:r>
    </w:p>
    <w:p w:rsidR="00597BDF" w:rsidRPr="007F1D2A" w:rsidRDefault="00597BDF" w:rsidP="00597BDF">
      <w:pPr>
        <w:widowControl w:val="0"/>
        <w:suppressAutoHyphens/>
        <w:spacing w:after="0" w:line="240" w:lineRule="atLeast"/>
        <w:ind w:hanging="15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</w:pPr>
    </w:p>
    <w:p w:rsidR="00597BDF" w:rsidRPr="007F1D2A" w:rsidRDefault="00597BDF" w:rsidP="00597BD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1D2A">
        <w:rPr>
          <w:rFonts w:ascii="Times New Roman" w:hAnsi="Times New Roman" w:cs="Times New Roman"/>
          <w:color w:val="000000"/>
          <w:sz w:val="26"/>
          <w:szCs w:val="26"/>
        </w:rPr>
        <w:t xml:space="preserve">Внешняя проверка годового отчета об исполнении районного бюджета за 2020 год проведена на основании статей 264.4, 268.1 Бюджетного кодекса Российской Федерации (далее – БК РФ), </w:t>
      </w:r>
      <w:r w:rsidRPr="007F1D2A">
        <w:rPr>
          <w:rFonts w:ascii="Times New Roman" w:hAnsi="Times New Roman" w:cs="Times New Roman"/>
          <w:bCs/>
          <w:sz w:val="26"/>
          <w:szCs w:val="26"/>
        </w:rPr>
        <w:t xml:space="preserve">статьи 52 Положения о бюджетном процессе в Балахтинском районе, утвержденного решением Балахтинского районного Совета депутатов от 27.11.2019 года № 32-376р </w:t>
      </w:r>
      <w:r w:rsidRPr="007F1D2A">
        <w:rPr>
          <w:rFonts w:ascii="Times New Roman" w:hAnsi="Times New Roman" w:cs="Times New Roman"/>
          <w:color w:val="000000"/>
          <w:sz w:val="26"/>
          <w:szCs w:val="26"/>
        </w:rPr>
        <w:t>(далее – Положение о бюджетном процессе).</w:t>
      </w:r>
    </w:p>
    <w:p w:rsidR="00597BDF" w:rsidRPr="007F1D2A" w:rsidRDefault="00597BDF" w:rsidP="00597BD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1D2A">
        <w:rPr>
          <w:rFonts w:ascii="Times New Roman" w:hAnsi="Times New Roman" w:cs="Times New Roman"/>
          <w:color w:val="000000"/>
          <w:sz w:val="26"/>
          <w:szCs w:val="26"/>
          <w:u w:val="single"/>
        </w:rPr>
        <w:t>Цель проверки</w:t>
      </w:r>
      <w:r w:rsidRPr="007F1D2A">
        <w:rPr>
          <w:rFonts w:ascii="Times New Roman" w:hAnsi="Times New Roman" w:cs="Times New Roman"/>
          <w:color w:val="000000"/>
          <w:sz w:val="26"/>
          <w:szCs w:val="26"/>
        </w:rPr>
        <w:t>: контроль достоверности годового отчета об исполнении районного бюджета, законности и результативности деятельности по исполнению районного бюджета в 202</w:t>
      </w:r>
      <w:r w:rsidR="00CF71DE" w:rsidRPr="007F1D2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F1D2A">
        <w:rPr>
          <w:rFonts w:ascii="Times New Roman" w:hAnsi="Times New Roman" w:cs="Times New Roman"/>
          <w:color w:val="000000"/>
          <w:sz w:val="26"/>
          <w:szCs w:val="26"/>
        </w:rPr>
        <w:t xml:space="preserve"> году, с учетом имеющихся ограничений.</w:t>
      </w:r>
    </w:p>
    <w:p w:rsidR="00597BDF" w:rsidRPr="007F1D2A" w:rsidRDefault="00597BDF" w:rsidP="00597BDF">
      <w:pPr>
        <w:spacing w:after="0" w:line="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F1D2A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Задачи проверки</w:t>
      </w:r>
      <w:r w:rsidRPr="007F1D2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:  </w:t>
      </w:r>
    </w:p>
    <w:p w:rsidR="00597BDF" w:rsidRPr="007F1D2A" w:rsidRDefault="00597BDF" w:rsidP="00597BDF">
      <w:pPr>
        <w:spacing w:after="0" w:line="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F1D2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-установление полноты и достоверности годового отчета об исполнении районного бюджета;</w:t>
      </w:r>
    </w:p>
    <w:p w:rsidR="00597BDF" w:rsidRPr="007F1D2A" w:rsidRDefault="00597BDF" w:rsidP="00597BDF">
      <w:pPr>
        <w:spacing w:after="0" w:line="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F1D2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-оценка формирования и исполнения доходной и расходной частей районного бюджета, дефицита (профицита) районного бюджета.</w:t>
      </w:r>
    </w:p>
    <w:p w:rsidR="00597BDF" w:rsidRPr="007F1D2A" w:rsidRDefault="00597BDF" w:rsidP="00597BDF">
      <w:pPr>
        <w:spacing w:after="0" w:line="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F1D2A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Предмет проверки</w:t>
      </w:r>
      <w:r w:rsidRPr="007F1D2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: годовой отчет об исполнении районного бюджета, документы, представленные в </w:t>
      </w:r>
      <w:r w:rsidR="00F83CC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  <w:r w:rsidRPr="007F1D2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онтрольно-счетный орган в соответствии с требованиями Положения о бюджетном процессе в Балахтинском районе.</w:t>
      </w:r>
    </w:p>
    <w:p w:rsidR="00597BDF" w:rsidRPr="007F1D2A" w:rsidRDefault="00597BDF" w:rsidP="00597BDF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7F1D2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Общие положения</w:t>
      </w:r>
    </w:p>
    <w:p w:rsidR="00597BDF" w:rsidRPr="007F1D2A" w:rsidRDefault="00597BDF" w:rsidP="00597BDF">
      <w:pPr>
        <w:spacing w:after="0" w:line="0" w:lineRule="atLeast"/>
        <w:ind w:left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F1D2A">
        <w:rPr>
          <w:rFonts w:ascii="Times New Roman" w:hAnsi="Times New Roman" w:cs="Times New Roman"/>
          <w:color w:val="000000"/>
          <w:sz w:val="26"/>
          <w:szCs w:val="26"/>
        </w:rPr>
        <w:t>Годовой отчет об исполнении районного бюджета за 202</w:t>
      </w:r>
      <w:r w:rsidR="00CF71DE" w:rsidRPr="007F1D2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F1D2A">
        <w:rPr>
          <w:rFonts w:ascii="Times New Roman" w:hAnsi="Times New Roman" w:cs="Times New Roman"/>
          <w:color w:val="000000"/>
          <w:sz w:val="26"/>
          <w:szCs w:val="26"/>
        </w:rPr>
        <w:t xml:space="preserve"> год представлен в контрольно- счетный орган Балахтинского района администрацией Балахтинского района (далее – администрация района) с соблюдением срока, установленного статьей 264.4 БК РФ и статьей 52 Положения о бюджетном процессе. </w:t>
      </w:r>
    </w:p>
    <w:p w:rsidR="00597BDF" w:rsidRPr="007F1D2A" w:rsidRDefault="00597BDF" w:rsidP="00597B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2A">
        <w:rPr>
          <w:rFonts w:ascii="Times New Roman" w:hAnsi="Times New Roman" w:cs="Times New Roman"/>
          <w:sz w:val="26"/>
          <w:szCs w:val="26"/>
        </w:rPr>
        <w:t>Одновременно с отчетом об исполнении районного бюджета за 202</w:t>
      </w:r>
      <w:r w:rsidR="00CF71DE" w:rsidRPr="007F1D2A">
        <w:rPr>
          <w:rFonts w:ascii="Times New Roman" w:hAnsi="Times New Roman" w:cs="Times New Roman"/>
          <w:sz w:val="26"/>
          <w:szCs w:val="26"/>
        </w:rPr>
        <w:t>1</w:t>
      </w:r>
      <w:r w:rsidRPr="007F1D2A">
        <w:rPr>
          <w:rFonts w:ascii="Times New Roman" w:hAnsi="Times New Roman" w:cs="Times New Roman"/>
          <w:sz w:val="26"/>
          <w:szCs w:val="26"/>
        </w:rPr>
        <w:t xml:space="preserve"> год администрацией района представлена следующая отчетная документация: </w:t>
      </w:r>
    </w:p>
    <w:p w:rsidR="00597BDF" w:rsidRPr="007F1D2A" w:rsidRDefault="00597BDF" w:rsidP="00597B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2A">
        <w:rPr>
          <w:rFonts w:ascii="Times New Roman" w:hAnsi="Times New Roman" w:cs="Times New Roman"/>
          <w:sz w:val="26"/>
          <w:szCs w:val="26"/>
        </w:rPr>
        <w:t>-баланс исполнения районного бюджета;</w:t>
      </w:r>
    </w:p>
    <w:p w:rsidR="00597BDF" w:rsidRPr="007F1D2A" w:rsidRDefault="00597BDF" w:rsidP="00597B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2A">
        <w:rPr>
          <w:rFonts w:ascii="Times New Roman" w:hAnsi="Times New Roman" w:cs="Times New Roman"/>
          <w:sz w:val="26"/>
          <w:szCs w:val="26"/>
        </w:rPr>
        <w:t>-отчет о финансовых результатах деятельности;</w:t>
      </w:r>
    </w:p>
    <w:p w:rsidR="00597BDF" w:rsidRPr="007F1D2A" w:rsidRDefault="00597BDF" w:rsidP="00597B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2A">
        <w:rPr>
          <w:rFonts w:ascii="Times New Roman" w:hAnsi="Times New Roman" w:cs="Times New Roman"/>
          <w:sz w:val="26"/>
          <w:szCs w:val="26"/>
        </w:rPr>
        <w:t>-отчет о движении денежных средств;</w:t>
      </w:r>
    </w:p>
    <w:p w:rsidR="00597BDF" w:rsidRPr="007F1D2A" w:rsidRDefault="00597BDF" w:rsidP="00597B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2A">
        <w:rPr>
          <w:rFonts w:ascii="Times New Roman" w:hAnsi="Times New Roman" w:cs="Times New Roman"/>
          <w:sz w:val="26"/>
          <w:szCs w:val="26"/>
        </w:rPr>
        <w:t>-пояснительная записка.</w:t>
      </w:r>
    </w:p>
    <w:p w:rsidR="00597BDF" w:rsidRPr="007F1D2A" w:rsidRDefault="00597BDF" w:rsidP="00597B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2A">
        <w:rPr>
          <w:rFonts w:ascii="Times New Roman" w:hAnsi="Times New Roman" w:cs="Times New Roman"/>
          <w:sz w:val="26"/>
          <w:szCs w:val="26"/>
        </w:rPr>
        <w:t>Отчет об использовании средств резервного фонда не составлялся по причине отсутствия чрезвычайных ситуаций.</w:t>
      </w:r>
    </w:p>
    <w:p w:rsidR="00CF71DE" w:rsidRPr="007F1D2A" w:rsidRDefault="00CF71DE" w:rsidP="00CF71DE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1D2A">
        <w:rPr>
          <w:rFonts w:ascii="Times New Roman" w:hAnsi="Times New Roman" w:cs="Times New Roman"/>
          <w:b/>
          <w:sz w:val="26"/>
          <w:szCs w:val="26"/>
        </w:rPr>
        <w:t>Оценка полноты и достоверности отчета об исполнении районного бюджета.</w:t>
      </w:r>
    </w:p>
    <w:p w:rsidR="00CF71DE" w:rsidRPr="007F1D2A" w:rsidRDefault="00CF71DE" w:rsidP="00CF7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2A">
        <w:rPr>
          <w:rFonts w:ascii="Times New Roman" w:hAnsi="Times New Roman" w:cs="Times New Roman"/>
          <w:sz w:val="26"/>
          <w:szCs w:val="26"/>
        </w:rPr>
        <w:t xml:space="preserve">Годовой отчет об исполнении районного бюджета за 2021 год рассмотрен  с учетом результатов внешней проверки годовой бюджетной отчетности 8 главных администраторов бюджетных средств. Внешняя проверка годовой бюджетной отчетности ГАБС осуществлялась в форме камеральной проверки. Всего в </w:t>
      </w:r>
      <w:r w:rsidR="00F83CC5">
        <w:rPr>
          <w:rFonts w:ascii="Times New Roman" w:hAnsi="Times New Roman" w:cs="Times New Roman"/>
          <w:sz w:val="26"/>
          <w:szCs w:val="26"/>
        </w:rPr>
        <w:t xml:space="preserve">ходе внешней проверки выявлено </w:t>
      </w:r>
      <w:r w:rsidRPr="007F1D2A">
        <w:rPr>
          <w:rFonts w:ascii="Times New Roman" w:hAnsi="Times New Roman" w:cs="Times New Roman"/>
          <w:sz w:val="26"/>
          <w:szCs w:val="26"/>
        </w:rPr>
        <w:t>41 нарушение (недостатки)</w:t>
      </w:r>
      <w:r w:rsidR="00D1634E" w:rsidRPr="007F1D2A">
        <w:rPr>
          <w:rFonts w:ascii="Times New Roman" w:hAnsi="Times New Roman" w:cs="Times New Roman"/>
          <w:sz w:val="26"/>
          <w:szCs w:val="26"/>
        </w:rPr>
        <w:t>, в том числе нарушение требований Инструкции 191н - 19; не отражение операций по счетам -15; технические ошибки при составлении отчета - 4, не проведение инвентаризации -2</w:t>
      </w:r>
      <w:r w:rsidRPr="007F1D2A">
        <w:rPr>
          <w:rFonts w:ascii="Times New Roman" w:hAnsi="Times New Roman" w:cs="Times New Roman"/>
          <w:sz w:val="26"/>
          <w:szCs w:val="26"/>
        </w:rPr>
        <w:t>.</w:t>
      </w:r>
    </w:p>
    <w:p w:rsidR="00CF71DE" w:rsidRPr="007F1D2A" w:rsidRDefault="00CF71DE" w:rsidP="00CF7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2A">
        <w:rPr>
          <w:rFonts w:ascii="Times New Roman" w:hAnsi="Times New Roman" w:cs="Times New Roman"/>
          <w:sz w:val="26"/>
          <w:szCs w:val="26"/>
        </w:rPr>
        <w:lastRenderedPageBreak/>
        <w:t xml:space="preserve">В ходе внешней проверки выявлены факты, способные негативно повлиять на достоверность  бюджетной отчетности у </w:t>
      </w:r>
      <w:r w:rsidR="00C50984" w:rsidRPr="007F1D2A">
        <w:rPr>
          <w:rFonts w:ascii="Times New Roman" w:hAnsi="Times New Roman" w:cs="Times New Roman"/>
          <w:sz w:val="26"/>
          <w:szCs w:val="26"/>
        </w:rPr>
        <w:t>9</w:t>
      </w:r>
      <w:r w:rsidRPr="007F1D2A">
        <w:rPr>
          <w:rFonts w:ascii="Times New Roman" w:hAnsi="Times New Roman" w:cs="Times New Roman"/>
          <w:sz w:val="26"/>
          <w:szCs w:val="26"/>
        </w:rPr>
        <w:t xml:space="preserve"> ГАБС.</w:t>
      </w:r>
    </w:p>
    <w:p w:rsidR="00CF71DE" w:rsidRPr="007F1D2A" w:rsidRDefault="00CF71DE" w:rsidP="00CF71D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D2A">
        <w:rPr>
          <w:rFonts w:ascii="Times New Roman" w:hAnsi="Times New Roman" w:cs="Times New Roman"/>
          <w:sz w:val="26"/>
          <w:szCs w:val="26"/>
        </w:rPr>
        <w:t>Негативное влияние на достоверность бюджетной отчетности оказало:</w:t>
      </w:r>
      <w:r w:rsidRPr="007F1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отражение в бюджетном учете операций по счетам </w:t>
      </w:r>
      <w:r w:rsidRPr="007F1D2A">
        <w:rPr>
          <w:rFonts w:ascii="Times New Roman" w:eastAsia="Times New Roman" w:hAnsi="Times New Roman" w:cs="Times New Roman"/>
          <w:sz w:val="26"/>
          <w:szCs w:val="26"/>
          <w:lang w:eastAsia="ar-SA"/>
        </w:rPr>
        <w:t>0 501 23 000 «Лимиты бюджетных обязательств первого года, следующего за текущим (очередного финансового года)», счет 0 501 33 000 «Лимиты бюджетных обязательств второго года, следующего за текущим(первого года, следующего за очередным)» в нарушение п.п.309,315,316 Инструкции № 157н;   по счету 0 502 99 000 «Отложенные обязательства на иные очередные годы(за пределами планового периода)» в нарушение статьи 264.1 Бюджетного кодекса РФ, п.7 Федерального стандарта № 124н, п.п.302.1,308,309 Инструкции № 157Н, раздела 3 Методических рекомендаций по применению положений СГС «Резервы. Раскрытие информации об условных обязательствах и условных активах, письма Минфина России от 14.01.2016 № 02-07-10/604; не соответствие утвержденных лимитов, доведенных бюджетной росписью по  счету 0 501 13 000 «Лимиты бюджетных обязательств текущего финансового года»  показателям графы 5 Отчета о бюджетных обязательствах  (ф.0503128) и раздела 3 Сведений о принятых и неисполненных обязательствах получателя бюджетных средств (ф.0503175);  принятие к учету активов по стоимости, не соответствующей стоимости, отраженной в документах, подтверждающих переход прав (МКУ УИЗИЗ –автомобиль Тойота Камри), не проведение перед составление годовой бюджетной отчетности инвентаризации активов и обязательств (МКУ Служба заказчика»), не проведение инвентаризации имущества казны (МКУ УИЗИЗ).</w:t>
      </w:r>
    </w:p>
    <w:p w:rsidR="00CF71DE" w:rsidRPr="007F1D2A" w:rsidRDefault="00CF71DE" w:rsidP="00CF71D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D2A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проверок по каждому главному администратору бюджетных средств оформлены заключениями и направлены в адрес главных администраторов бюджетных средств.</w:t>
      </w:r>
    </w:p>
    <w:p w:rsidR="00597BDF" w:rsidRPr="007F1D2A" w:rsidRDefault="00597BDF" w:rsidP="00597BDF">
      <w:pPr>
        <w:widowControl w:val="0"/>
        <w:suppressAutoHyphens/>
        <w:spacing w:after="0" w:line="240" w:lineRule="atLeast"/>
        <w:ind w:firstLine="709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</w:pPr>
      <w:r w:rsidRPr="007F1D2A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  <w:t>Анализ  дебиторской и кредиторской задолженности</w:t>
      </w:r>
    </w:p>
    <w:p w:rsidR="00597BDF" w:rsidRPr="007F1D2A" w:rsidRDefault="00597BDF" w:rsidP="00597BDF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Показатели сведений по дебиторской и кредиторской задолженности формы 0503369 подтверждены Балансом формы 0503320.</w:t>
      </w:r>
    </w:p>
    <w:p w:rsidR="00597BDF" w:rsidRPr="007F1D2A" w:rsidRDefault="00597BDF" w:rsidP="00597BDF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Дебиторская задолженность на конец года составила </w:t>
      </w:r>
      <w:r w:rsidR="002F583B"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1318326,1</w:t>
      </w: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тыс. рублей, в том числе:</w:t>
      </w:r>
    </w:p>
    <w:p w:rsidR="00597BDF" w:rsidRPr="007F1D2A" w:rsidRDefault="00597BDF" w:rsidP="00597BDF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-расчеты по налоговым доходам по счету 020500000 в размере </w:t>
      </w:r>
      <w:r w:rsidR="00C50984"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1318240,1</w:t>
      </w: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тыс. рублей;</w:t>
      </w:r>
    </w:p>
    <w:p w:rsidR="00597BDF" w:rsidRPr="007F1D2A" w:rsidRDefault="00597BDF" w:rsidP="00597BDF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-расчеты по счетам 02060000</w:t>
      </w:r>
      <w:r w:rsidR="00C50984"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0,020800000,030300000 в размере</w:t>
      </w: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</w:t>
      </w:r>
      <w:r w:rsidR="00C50984"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96,0</w:t>
      </w: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тыс. рублей.</w:t>
      </w:r>
    </w:p>
    <w:p w:rsidR="00597BDF" w:rsidRPr="007F1D2A" w:rsidRDefault="00597BDF" w:rsidP="00597BDF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Кредиторская задолженность на конец года сложилась в сумме </w:t>
      </w:r>
      <w:r w:rsidR="00287CA6"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20861,6</w:t>
      </w: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тыс. рублей,:</w:t>
      </w:r>
    </w:p>
    <w:p w:rsidR="00597BDF" w:rsidRPr="007F1D2A" w:rsidRDefault="00597BDF" w:rsidP="00597B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1D2A">
        <w:rPr>
          <w:rFonts w:ascii="Times New Roman" w:hAnsi="Times New Roman" w:cs="Times New Roman"/>
          <w:sz w:val="26"/>
          <w:szCs w:val="26"/>
        </w:rPr>
        <w:t xml:space="preserve">-бюджетный кредит в сумме </w:t>
      </w:r>
      <w:r w:rsidR="002F583B" w:rsidRPr="007F1D2A">
        <w:rPr>
          <w:rFonts w:ascii="Times New Roman" w:hAnsi="Times New Roman" w:cs="Times New Roman"/>
          <w:sz w:val="26"/>
          <w:szCs w:val="26"/>
        </w:rPr>
        <w:t>15200,0</w:t>
      </w:r>
      <w:r w:rsidRPr="007F1D2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97BDF" w:rsidRPr="007F1D2A" w:rsidRDefault="00597BDF" w:rsidP="00597B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1D2A">
        <w:rPr>
          <w:rFonts w:ascii="Times New Roman" w:hAnsi="Times New Roman" w:cs="Times New Roman"/>
          <w:sz w:val="26"/>
          <w:szCs w:val="26"/>
        </w:rPr>
        <w:t xml:space="preserve">-расчеты по  налоговым доходам в сумме </w:t>
      </w:r>
      <w:r w:rsidR="002F583B" w:rsidRPr="007F1D2A">
        <w:rPr>
          <w:rFonts w:ascii="Times New Roman" w:hAnsi="Times New Roman" w:cs="Times New Roman"/>
          <w:sz w:val="26"/>
          <w:szCs w:val="26"/>
        </w:rPr>
        <w:t>753,0</w:t>
      </w:r>
      <w:r w:rsidRPr="007F1D2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97BDF" w:rsidRPr="007F1D2A" w:rsidRDefault="00597BDF" w:rsidP="00597B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1D2A">
        <w:rPr>
          <w:rFonts w:ascii="Times New Roman" w:hAnsi="Times New Roman" w:cs="Times New Roman"/>
          <w:sz w:val="26"/>
          <w:szCs w:val="26"/>
        </w:rPr>
        <w:t xml:space="preserve">-расчеты по начислениям на оплату труда </w:t>
      </w:r>
      <w:r w:rsidR="002F583B" w:rsidRPr="007F1D2A">
        <w:rPr>
          <w:rFonts w:ascii="Times New Roman" w:hAnsi="Times New Roman" w:cs="Times New Roman"/>
          <w:sz w:val="26"/>
          <w:szCs w:val="26"/>
        </w:rPr>
        <w:t>211,0</w:t>
      </w:r>
      <w:r w:rsidRPr="007F1D2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97BDF" w:rsidRPr="007F1D2A" w:rsidRDefault="00597BDF" w:rsidP="00287CA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1D2A">
        <w:rPr>
          <w:rFonts w:ascii="Times New Roman" w:hAnsi="Times New Roman" w:cs="Times New Roman"/>
          <w:sz w:val="26"/>
          <w:szCs w:val="26"/>
        </w:rPr>
        <w:t xml:space="preserve">- расчеты по </w:t>
      </w:r>
      <w:r w:rsidR="00287CA6" w:rsidRPr="007F1D2A">
        <w:rPr>
          <w:rFonts w:ascii="Times New Roman" w:hAnsi="Times New Roman" w:cs="Times New Roman"/>
          <w:sz w:val="26"/>
          <w:szCs w:val="26"/>
        </w:rPr>
        <w:t xml:space="preserve">счетам 03020000,020800000,030402000,030403000- 4697,4 тыс. рублей. </w:t>
      </w:r>
    </w:p>
    <w:p w:rsidR="00597BDF" w:rsidRPr="007F1D2A" w:rsidRDefault="00597BDF" w:rsidP="00597BDF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Кредиторская задолженность на конец года сложилась в сумме </w:t>
      </w:r>
      <w:r w:rsidR="00287CA6"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4908,6</w:t>
      </w: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тыс. рублей без учета бюджетного кредита и расчетов по налоговым доходам, в сравнении с прошлым периодом кредиторская задолженность </w:t>
      </w:r>
      <w:r w:rsidR="00ED7F4A"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уменьшилась </w:t>
      </w: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более чем в </w:t>
      </w:r>
      <w:r w:rsidR="00ED7F4A"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2</w:t>
      </w: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раз</w:t>
      </w:r>
      <w:r w:rsidR="00ED7F4A"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а</w:t>
      </w:r>
      <w:r w:rsidR="005D6777"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</w:t>
      </w: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(на конец прошлого периода кредиторская задолженность составляла-</w:t>
      </w:r>
      <w:r w:rsidR="00ED7F4A"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10484,7</w:t>
      </w:r>
      <w:r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тыс. рублей</w:t>
      </w:r>
      <w:r w:rsidR="00ED7F4A"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).</w:t>
      </w:r>
    </w:p>
    <w:p w:rsidR="00597BDF" w:rsidRPr="007F1D2A" w:rsidRDefault="00597BDF" w:rsidP="00597BD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7F1D2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Анализ основных параметров районного бюджета за 202</w:t>
      </w:r>
      <w:r w:rsidR="00ED7F4A" w:rsidRPr="007F1D2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1</w:t>
      </w:r>
      <w:r w:rsidRPr="007F1D2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год</w:t>
      </w:r>
    </w:p>
    <w:p w:rsidR="00597BDF" w:rsidRPr="007F1D2A" w:rsidRDefault="00597BDF" w:rsidP="00597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F1D2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 </w:t>
      </w:r>
      <w:r w:rsidRPr="007F1D2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Бюджет Балахтинского района на 202</w:t>
      </w:r>
      <w:r w:rsidR="00ED7F4A" w:rsidRPr="007F1D2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Pr="007F1D2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год утвержден решением Балахтинского районного Совета депутатов от 20.12.2019г.№ 33-388 «О районном бюджете на 2020 год и плановый период 2021-2022 годов».</w:t>
      </w:r>
    </w:p>
    <w:p w:rsidR="00597BDF" w:rsidRPr="007F1D2A" w:rsidRDefault="00597BDF" w:rsidP="0059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2020 года в районный бюджет внесено 4 изменения, утвержденных решениями Балахтинского районного Совета депутатов.</w:t>
      </w:r>
    </w:p>
    <w:p w:rsidR="00597BDF" w:rsidRPr="007F1D2A" w:rsidRDefault="00597BDF" w:rsidP="00597B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 сформирован с дефицитом бюджета в первоначальной редакции 1562,5 тыс. рублей, в редакции от 23.12.2020г. с дефицитом бюджета 12498,0 тыс. рублей, фактически в отчетном периоде профицит бюджета   составил 602,4 тыс. рублей.</w:t>
      </w:r>
    </w:p>
    <w:p w:rsidR="00597BDF" w:rsidRPr="00597BDF" w:rsidRDefault="00597BDF" w:rsidP="00597BDF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7BDF">
        <w:rPr>
          <w:rFonts w:ascii="Times New Roman" w:eastAsia="Times New Roman" w:hAnsi="Times New Roman" w:cs="Times New Roman"/>
          <w:color w:val="000000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2298"/>
        <w:gridCol w:w="2178"/>
        <w:gridCol w:w="2387"/>
      </w:tblGrid>
      <w:tr w:rsidR="00597BDF" w:rsidRPr="00597BDF" w:rsidTr="00CF71DE">
        <w:tc>
          <w:tcPr>
            <w:tcW w:w="2808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сессии от </w:t>
            </w:r>
          </w:p>
          <w:p w:rsidR="00597BDF" w:rsidRPr="00597BDF" w:rsidRDefault="00597BDF" w:rsidP="005D6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D67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="005D67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г.№ </w:t>
            </w:r>
            <w:r w:rsidR="005D67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3-29р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597BDF" w:rsidRPr="00597BDF" w:rsidRDefault="00597BDF" w:rsidP="007D33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сессии от 2</w:t>
            </w:r>
            <w:r w:rsidR="007D3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7D3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7D3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7D3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12-108р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597BDF" w:rsidRPr="00597BDF" w:rsidTr="00CF71DE">
        <w:tc>
          <w:tcPr>
            <w:tcW w:w="280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2340" w:type="dxa"/>
            <w:shd w:val="clear" w:color="auto" w:fill="auto"/>
          </w:tcPr>
          <w:p w:rsidR="00597BDF" w:rsidRPr="00597BDF" w:rsidRDefault="005D6777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1042844,2</w:t>
            </w:r>
          </w:p>
        </w:tc>
        <w:tc>
          <w:tcPr>
            <w:tcW w:w="2226" w:type="dxa"/>
            <w:shd w:val="clear" w:color="auto" w:fill="auto"/>
          </w:tcPr>
          <w:p w:rsidR="00597BDF" w:rsidRPr="00597BDF" w:rsidRDefault="00834192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1334835,4</w:t>
            </w:r>
          </w:p>
        </w:tc>
        <w:tc>
          <w:tcPr>
            <w:tcW w:w="2458" w:type="dxa"/>
            <w:shd w:val="clear" w:color="auto" w:fill="auto"/>
          </w:tcPr>
          <w:p w:rsidR="00597BDF" w:rsidRPr="00597BDF" w:rsidRDefault="002E12EA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1278815,6</w:t>
            </w:r>
          </w:p>
        </w:tc>
      </w:tr>
      <w:tr w:rsidR="00597BDF" w:rsidRPr="00597BDF" w:rsidTr="00CF71DE">
        <w:tc>
          <w:tcPr>
            <w:tcW w:w="280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340" w:type="dxa"/>
            <w:shd w:val="clear" w:color="auto" w:fill="auto"/>
          </w:tcPr>
          <w:p w:rsidR="00597BDF" w:rsidRPr="00597BDF" w:rsidRDefault="005D6777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928782,6</w:t>
            </w:r>
          </w:p>
        </w:tc>
        <w:tc>
          <w:tcPr>
            <w:tcW w:w="2226" w:type="dxa"/>
            <w:shd w:val="clear" w:color="auto" w:fill="auto"/>
          </w:tcPr>
          <w:p w:rsidR="00597BDF" w:rsidRPr="00597BDF" w:rsidRDefault="00834192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1198006,0</w:t>
            </w:r>
          </w:p>
        </w:tc>
        <w:tc>
          <w:tcPr>
            <w:tcW w:w="2458" w:type="dxa"/>
            <w:shd w:val="clear" w:color="auto" w:fill="auto"/>
          </w:tcPr>
          <w:p w:rsidR="00597BDF" w:rsidRPr="00597BDF" w:rsidRDefault="007D33E6" w:rsidP="007D33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1139505,6</w:t>
            </w:r>
          </w:p>
        </w:tc>
      </w:tr>
      <w:tr w:rsidR="00597BDF" w:rsidRPr="00597BDF" w:rsidTr="00CF71DE">
        <w:tc>
          <w:tcPr>
            <w:tcW w:w="280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без учета безвозмездных поступлений</w:t>
            </w:r>
          </w:p>
        </w:tc>
        <w:tc>
          <w:tcPr>
            <w:tcW w:w="2340" w:type="dxa"/>
            <w:shd w:val="clear" w:color="auto" w:fill="auto"/>
          </w:tcPr>
          <w:p w:rsidR="00597BDF" w:rsidRPr="00597BDF" w:rsidRDefault="005D6777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114061,6</w:t>
            </w:r>
          </w:p>
        </w:tc>
        <w:tc>
          <w:tcPr>
            <w:tcW w:w="2226" w:type="dxa"/>
            <w:shd w:val="clear" w:color="auto" w:fill="auto"/>
          </w:tcPr>
          <w:p w:rsidR="00597BDF" w:rsidRPr="00597BDF" w:rsidRDefault="00834192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136829,4</w:t>
            </w:r>
          </w:p>
        </w:tc>
        <w:tc>
          <w:tcPr>
            <w:tcW w:w="2458" w:type="dxa"/>
            <w:shd w:val="clear" w:color="auto" w:fill="auto"/>
          </w:tcPr>
          <w:p w:rsidR="00597BDF" w:rsidRPr="00597BDF" w:rsidRDefault="007D33E6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139310,0</w:t>
            </w:r>
          </w:p>
        </w:tc>
      </w:tr>
      <w:tr w:rsidR="00597BDF" w:rsidRPr="00597BDF" w:rsidTr="00CF71DE">
        <w:tc>
          <w:tcPr>
            <w:tcW w:w="280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340" w:type="dxa"/>
            <w:shd w:val="clear" w:color="auto" w:fill="auto"/>
          </w:tcPr>
          <w:p w:rsidR="00597BDF" w:rsidRPr="00597BDF" w:rsidRDefault="005D6777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1044363,5</w:t>
            </w:r>
          </w:p>
        </w:tc>
        <w:tc>
          <w:tcPr>
            <w:tcW w:w="2226" w:type="dxa"/>
            <w:shd w:val="clear" w:color="auto" w:fill="auto"/>
          </w:tcPr>
          <w:p w:rsidR="00597BDF" w:rsidRPr="00597BDF" w:rsidRDefault="00834192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1348682,1</w:t>
            </w:r>
          </w:p>
        </w:tc>
        <w:tc>
          <w:tcPr>
            <w:tcW w:w="2458" w:type="dxa"/>
            <w:shd w:val="clear" w:color="auto" w:fill="auto"/>
          </w:tcPr>
          <w:p w:rsidR="00597BDF" w:rsidRPr="00597BDF" w:rsidRDefault="007D33E6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1287567,1</w:t>
            </w:r>
          </w:p>
        </w:tc>
      </w:tr>
      <w:tr w:rsidR="00597BDF" w:rsidRPr="00597BDF" w:rsidTr="00CF71DE">
        <w:tc>
          <w:tcPr>
            <w:tcW w:w="280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Дефицит(-)/Профицит (+) </w:t>
            </w:r>
          </w:p>
        </w:tc>
        <w:tc>
          <w:tcPr>
            <w:tcW w:w="2340" w:type="dxa"/>
            <w:shd w:val="clear" w:color="auto" w:fill="auto"/>
          </w:tcPr>
          <w:p w:rsidR="00597BDF" w:rsidRPr="00597BDF" w:rsidRDefault="005D6777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1519,3</w:t>
            </w:r>
          </w:p>
        </w:tc>
        <w:tc>
          <w:tcPr>
            <w:tcW w:w="2226" w:type="dxa"/>
            <w:shd w:val="clear" w:color="auto" w:fill="auto"/>
          </w:tcPr>
          <w:p w:rsidR="00597BDF" w:rsidRPr="00597BDF" w:rsidRDefault="00597BDF" w:rsidP="0083419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834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13846,7</w:t>
            </w:r>
          </w:p>
        </w:tc>
        <w:tc>
          <w:tcPr>
            <w:tcW w:w="2458" w:type="dxa"/>
            <w:shd w:val="clear" w:color="auto" w:fill="auto"/>
          </w:tcPr>
          <w:p w:rsidR="00597BDF" w:rsidRPr="00597BDF" w:rsidRDefault="007D33E6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248,5</w:t>
            </w:r>
          </w:p>
        </w:tc>
      </w:tr>
      <w:tr w:rsidR="00597BDF" w:rsidRPr="00597BDF" w:rsidTr="00CF71DE">
        <w:tc>
          <w:tcPr>
            <w:tcW w:w="280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дефицита от доходной части бюджета без учета безвозмездных поступлений</w:t>
            </w:r>
          </w:p>
        </w:tc>
        <w:tc>
          <w:tcPr>
            <w:tcW w:w="2340" w:type="dxa"/>
            <w:shd w:val="clear" w:color="auto" w:fill="auto"/>
          </w:tcPr>
          <w:p w:rsidR="00597BDF" w:rsidRPr="00597BDF" w:rsidRDefault="006E6199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  <w:tc>
          <w:tcPr>
            <w:tcW w:w="2226" w:type="dxa"/>
            <w:shd w:val="clear" w:color="auto" w:fill="auto"/>
          </w:tcPr>
          <w:p w:rsidR="00597BDF" w:rsidRPr="00597BDF" w:rsidRDefault="00834192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245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97BDF" w:rsidRPr="00597BDF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BDF" w:rsidRPr="007F1D2A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Внесение изменений в Решение о бюджете на 202</w:t>
      </w:r>
      <w:r w:rsidR="007D33E6" w:rsidRPr="007F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r w:rsidRPr="007F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 в основном связано с корректировкой налоговых и неналоговых доходов, а также поступлением из бюджетов других уровней в течение отчетного финансового года, необходимостью перераспределения бюджетных ассигнований между гласными распорядителями, получателями средств районного бюджета и между разделами, видами расходов и целевыми статьями классификации расходов.</w:t>
      </w:r>
    </w:p>
    <w:p w:rsidR="00597BDF" w:rsidRPr="007F1D2A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Расходная часть бюджета в течение года увеличена на </w:t>
      </w:r>
      <w:r w:rsidR="007D33E6" w:rsidRPr="007F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304318,6 </w:t>
      </w:r>
      <w:r w:rsidRPr="007F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 рублей, изменение объемов финансирования в разрезе функциональной структуры приведено в таблице</w:t>
      </w:r>
    </w:p>
    <w:p w:rsidR="00597BDF" w:rsidRPr="00597BDF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BDF" w:rsidRPr="00597BDF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7BDF">
        <w:rPr>
          <w:rFonts w:ascii="Times New Roman" w:eastAsia="Times New Roman" w:hAnsi="Times New Roman" w:cs="Times New Roman"/>
          <w:color w:val="000000"/>
          <w:lang w:eastAsia="ru-RU"/>
        </w:rPr>
        <w:t xml:space="preserve"> (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674"/>
        <w:gridCol w:w="1758"/>
        <w:gridCol w:w="1379"/>
        <w:gridCol w:w="1551"/>
      </w:tblGrid>
      <w:tr w:rsidR="00597BDF" w:rsidRPr="00597BDF" w:rsidTr="00CF71DE">
        <w:trPr>
          <w:trHeight w:val="350"/>
        </w:trPr>
        <w:tc>
          <w:tcPr>
            <w:tcW w:w="3322" w:type="dxa"/>
            <w:vMerge w:val="restart"/>
            <w:shd w:val="clear" w:color="auto" w:fill="BFBFBF" w:themeFill="background1" w:themeFillShade="BF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статьи</w:t>
            </w:r>
          </w:p>
        </w:tc>
        <w:tc>
          <w:tcPr>
            <w:tcW w:w="1684" w:type="dxa"/>
            <w:vMerge w:val="restart"/>
            <w:shd w:val="clear" w:color="auto" w:fill="BFBFBF" w:themeFill="background1" w:themeFillShade="BF"/>
          </w:tcPr>
          <w:p w:rsidR="00597BDF" w:rsidRPr="00597BDF" w:rsidRDefault="00597BDF" w:rsidP="002F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от 2</w:t>
            </w:r>
            <w:r w:rsidR="002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="002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г.№ </w:t>
            </w:r>
            <w:r w:rsidR="002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3-29р</w:t>
            </w:r>
          </w:p>
        </w:tc>
        <w:tc>
          <w:tcPr>
            <w:tcW w:w="1793" w:type="dxa"/>
            <w:vMerge w:val="restart"/>
            <w:shd w:val="clear" w:color="auto" w:fill="BFBFBF" w:themeFill="background1" w:themeFillShade="BF"/>
          </w:tcPr>
          <w:p w:rsidR="00597BDF" w:rsidRPr="00597BDF" w:rsidRDefault="00597BDF" w:rsidP="002F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от 2</w:t>
            </w:r>
            <w:r w:rsidR="002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2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</w:t>
            </w:r>
            <w:r w:rsidR="002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12-108р</w:t>
            </w:r>
          </w:p>
        </w:tc>
        <w:tc>
          <w:tcPr>
            <w:tcW w:w="3033" w:type="dxa"/>
            <w:gridSpan w:val="2"/>
            <w:shd w:val="clear" w:color="auto" w:fill="BFBFBF" w:themeFill="background1" w:themeFillShade="BF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</w:t>
            </w:r>
          </w:p>
        </w:tc>
      </w:tr>
      <w:tr w:rsidR="00597BDF" w:rsidRPr="00597BDF" w:rsidTr="00CF71DE">
        <w:tc>
          <w:tcPr>
            <w:tcW w:w="3322" w:type="dxa"/>
            <w:vMerge/>
            <w:shd w:val="clear" w:color="auto" w:fill="BFBFBF" w:themeFill="background1" w:themeFillShade="BF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BFBFBF" w:themeFill="background1" w:themeFillShade="BF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BFBFBF" w:themeFill="background1" w:themeFillShade="BF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624" w:type="dxa"/>
            <w:shd w:val="clear" w:color="auto" w:fill="BFBFBF" w:themeFill="background1" w:themeFillShade="BF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76386,6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76189,5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-197,4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1411,1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1551,3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140,2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109,9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5520,7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4929,4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-591,3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81455,2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180710,4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99255,2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221,9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15769,6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78204,7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62435,1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495,9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896,9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579,4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-317,5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548590,6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639669,1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91078,5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120613,9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141663,1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21049,2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117,5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45871,4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43607,7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-2263,7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16904,4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25276,2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8371,8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149,5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130943,1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156300,1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25357,0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119,4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1044363,5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976E3E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1348682,1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304318,6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9F5A02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129,1</w:t>
            </w:r>
          </w:p>
        </w:tc>
      </w:tr>
    </w:tbl>
    <w:p w:rsidR="00597BDF" w:rsidRPr="00597BDF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597BDF" w:rsidRPr="00221041" w:rsidRDefault="00597BDF" w:rsidP="00597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Наибольший рост бюджетных назначений по сравнению с первоначально утвержденным бюджетом отмечается в сферах:</w:t>
      </w:r>
    </w:p>
    <w:p w:rsidR="00597BDF" w:rsidRPr="00221041" w:rsidRDefault="00597BDF" w:rsidP="00597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национальной экономики на сумму 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99255,2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 (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221,9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%);</w:t>
      </w:r>
    </w:p>
    <w:p w:rsidR="00597BDF" w:rsidRPr="00221041" w:rsidRDefault="00597BDF" w:rsidP="00597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жилищно-коммунальное хозяйство на 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62435,1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 (более чем в 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раз);</w:t>
      </w:r>
    </w:p>
    <w:p w:rsidR="00597BDF" w:rsidRPr="00221041" w:rsidRDefault="00597BDF" w:rsidP="00597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образование на сумму 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91078,5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 (11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%);</w:t>
      </w:r>
    </w:p>
    <w:p w:rsidR="00597BDF" w:rsidRPr="00221041" w:rsidRDefault="00597BDF" w:rsidP="00597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культура, кинематография в размере 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21049,2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 (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117,5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%);</w:t>
      </w:r>
    </w:p>
    <w:p w:rsidR="00597BDF" w:rsidRPr="00221041" w:rsidRDefault="00597BDF" w:rsidP="00597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физическая культура и спорт на 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8371,8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 (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149,5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%);</w:t>
      </w:r>
    </w:p>
    <w:p w:rsidR="00597BDF" w:rsidRPr="00221041" w:rsidRDefault="00597BDF" w:rsidP="00597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межбюджетные трансферты на сумму 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23537,0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 (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119,4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%);</w:t>
      </w:r>
    </w:p>
    <w:p w:rsidR="00597BDF" w:rsidRPr="00221041" w:rsidRDefault="00597BDF" w:rsidP="00597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произошло по социальной политики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национальной безопасности и правоохранительной деятельности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охране окружающей среды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2263,7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 и 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591,3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</w:t>
      </w:r>
      <w:r w:rsidR="008E6850"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317,5 тыс. рублей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соответственно.</w:t>
      </w:r>
    </w:p>
    <w:p w:rsidR="00597BDF" w:rsidRPr="00221041" w:rsidRDefault="00597BDF" w:rsidP="00597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Большая часть бюджетных назначений, корректируемых в течение года приходится на расходные обязательства, финансируемые в рамках муниципальных программ.</w:t>
      </w:r>
    </w:p>
    <w:p w:rsidR="00597BDF" w:rsidRPr="00221041" w:rsidRDefault="00597BDF" w:rsidP="00597BDF">
      <w:pPr>
        <w:keepNext/>
        <w:spacing w:after="0" w:line="240" w:lineRule="auto"/>
        <w:ind w:left="-284" w:right="-1192" w:firstLine="85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418161993"/>
      <w:r w:rsidRPr="00221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доходной части районного бюджета в 202</w:t>
      </w:r>
      <w:r w:rsidR="002F371A" w:rsidRPr="00221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221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году </w:t>
      </w:r>
      <w:bookmarkEnd w:id="0"/>
    </w:p>
    <w:p w:rsidR="00597BDF" w:rsidRPr="00221041" w:rsidRDefault="00597BDF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2F371A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районный бюджет поступило </w:t>
      </w:r>
      <w:r w:rsidR="002F371A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1278815,6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ниже утвержденных бюджетных назначений на </w:t>
      </w:r>
      <w:r w:rsidR="00494A30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37867,7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2</w:t>
      </w:r>
      <w:r w:rsidR="00494A30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,8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97BDF" w:rsidRPr="00221041" w:rsidRDefault="00597BDF" w:rsidP="00597B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по исполнению доходной части бюджета представлены в таблице.</w:t>
      </w:r>
    </w:p>
    <w:p w:rsidR="00597BDF" w:rsidRPr="00597BDF" w:rsidRDefault="00597BDF" w:rsidP="00597B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7BDF">
        <w:rPr>
          <w:rFonts w:ascii="Times New Roman" w:eastAsia="Times New Roman" w:hAnsi="Times New Roman" w:cs="Times New Roman"/>
          <w:lang w:eastAsia="ru-RU"/>
        </w:rPr>
        <w:t>(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1587"/>
        <w:gridCol w:w="1422"/>
        <w:gridCol w:w="1747"/>
        <w:gridCol w:w="1454"/>
      </w:tblGrid>
      <w:tr w:rsidR="00597BDF" w:rsidRPr="00597BDF" w:rsidTr="00CF71DE">
        <w:tc>
          <w:tcPr>
            <w:tcW w:w="3528" w:type="dxa"/>
            <w:shd w:val="clear" w:color="auto" w:fill="BFBFBF" w:themeFill="background1" w:themeFillShade="BF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Группы доходов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597BDF" w:rsidRPr="00597BDF" w:rsidRDefault="00597BDF" w:rsidP="00494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Бюджет 202</w:t>
            </w:r>
            <w:r w:rsidR="00494A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:rsidR="00597BDF" w:rsidRPr="00597BDF" w:rsidRDefault="00597BDF" w:rsidP="00494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Отчет 202</w:t>
            </w:r>
            <w:r w:rsidR="00494A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597BDF" w:rsidRPr="00597BDF" w:rsidTr="00CF71DE">
        <w:tc>
          <w:tcPr>
            <w:tcW w:w="3528" w:type="dxa"/>
            <w:shd w:val="clear" w:color="auto" w:fill="auto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597BDF" w:rsidRPr="00597BDF" w:rsidRDefault="00494A30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136829,4</w:t>
            </w:r>
          </w:p>
        </w:tc>
        <w:tc>
          <w:tcPr>
            <w:tcW w:w="1442" w:type="dxa"/>
            <w:shd w:val="clear" w:color="auto" w:fill="auto"/>
          </w:tcPr>
          <w:p w:rsidR="00597BDF" w:rsidRPr="00597BDF" w:rsidRDefault="00494A30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139310,0</w:t>
            </w:r>
          </w:p>
        </w:tc>
        <w:tc>
          <w:tcPr>
            <w:tcW w:w="1781" w:type="dxa"/>
            <w:shd w:val="clear" w:color="auto" w:fill="auto"/>
          </w:tcPr>
          <w:p w:rsidR="00597BDF" w:rsidRPr="00597BDF" w:rsidRDefault="00494A30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2480,6</w:t>
            </w:r>
          </w:p>
        </w:tc>
        <w:tc>
          <w:tcPr>
            <w:tcW w:w="1461" w:type="dxa"/>
            <w:shd w:val="clear" w:color="auto" w:fill="auto"/>
          </w:tcPr>
          <w:p w:rsidR="00597BDF" w:rsidRPr="00597BDF" w:rsidRDefault="00494A30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</w:tr>
      <w:tr w:rsidR="00597BDF" w:rsidRPr="00597BDF" w:rsidTr="00CF71DE">
        <w:tc>
          <w:tcPr>
            <w:tcW w:w="3528" w:type="dxa"/>
            <w:shd w:val="clear" w:color="auto" w:fill="auto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-налоговые</w:t>
            </w:r>
          </w:p>
        </w:tc>
        <w:tc>
          <w:tcPr>
            <w:tcW w:w="1620" w:type="dxa"/>
            <w:shd w:val="clear" w:color="auto" w:fill="auto"/>
          </w:tcPr>
          <w:p w:rsidR="00597BDF" w:rsidRPr="00597BDF" w:rsidRDefault="00183EB7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115742,5</w:t>
            </w:r>
          </w:p>
        </w:tc>
        <w:tc>
          <w:tcPr>
            <w:tcW w:w="1442" w:type="dxa"/>
            <w:shd w:val="clear" w:color="auto" w:fill="auto"/>
          </w:tcPr>
          <w:p w:rsidR="00597BDF" w:rsidRPr="00597BDF" w:rsidRDefault="00183EB7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117432,6</w:t>
            </w:r>
          </w:p>
        </w:tc>
        <w:tc>
          <w:tcPr>
            <w:tcW w:w="1781" w:type="dxa"/>
            <w:shd w:val="clear" w:color="auto" w:fill="auto"/>
          </w:tcPr>
          <w:p w:rsidR="00597BDF" w:rsidRPr="00597BDF" w:rsidRDefault="00AB664A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1690,1</w:t>
            </w:r>
          </w:p>
        </w:tc>
        <w:tc>
          <w:tcPr>
            <w:tcW w:w="1461" w:type="dxa"/>
            <w:shd w:val="clear" w:color="auto" w:fill="auto"/>
          </w:tcPr>
          <w:p w:rsidR="00597BDF" w:rsidRPr="00597BDF" w:rsidRDefault="00AB664A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597BDF" w:rsidRPr="00597BDF" w:rsidTr="00CF71DE">
        <w:tc>
          <w:tcPr>
            <w:tcW w:w="3528" w:type="dxa"/>
            <w:shd w:val="clear" w:color="auto" w:fill="auto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-неналоговые</w:t>
            </w:r>
          </w:p>
        </w:tc>
        <w:tc>
          <w:tcPr>
            <w:tcW w:w="1620" w:type="dxa"/>
            <w:shd w:val="clear" w:color="auto" w:fill="auto"/>
          </w:tcPr>
          <w:p w:rsidR="00597BDF" w:rsidRPr="00597BDF" w:rsidRDefault="00CD69F9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21086,9</w:t>
            </w:r>
          </w:p>
        </w:tc>
        <w:tc>
          <w:tcPr>
            <w:tcW w:w="1442" w:type="dxa"/>
            <w:shd w:val="clear" w:color="auto" w:fill="auto"/>
          </w:tcPr>
          <w:p w:rsidR="00597BDF" w:rsidRPr="00597BDF" w:rsidRDefault="00CD69F9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21877,4</w:t>
            </w:r>
          </w:p>
        </w:tc>
        <w:tc>
          <w:tcPr>
            <w:tcW w:w="1781" w:type="dxa"/>
            <w:shd w:val="clear" w:color="auto" w:fill="auto"/>
          </w:tcPr>
          <w:p w:rsidR="00597BDF" w:rsidRPr="00597BDF" w:rsidRDefault="00AB664A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790,5</w:t>
            </w:r>
          </w:p>
        </w:tc>
        <w:tc>
          <w:tcPr>
            <w:tcW w:w="1461" w:type="dxa"/>
            <w:shd w:val="clear" w:color="auto" w:fill="auto"/>
          </w:tcPr>
          <w:p w:rsidR="00597BDF" w:rsidRPr="00597BDF" w:rsidRDefault="00AB664A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</w:tr>
      <w:tr w:rsidR="00597BDF" w:rsidRPr="00597BDF" w:rsidTr="00CF71DE">
        <w:tc>
          <w:tcPr>
            <w:tcW w:w="3528" w:type="dxa"/>
            <w:shd w:val="clear" w:color="auto" w:fill="auto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597BDF" w:rsidRPr="00597BDF" w:rsidRDefault="00183EB7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1179853,9</w:t>
            </w:r>
          </w:p>
        </w:tc>
        <w:tc>
          <w:tcPr>
            <w:tcW w:w="1442" w:type="dxa"/>
            <w:shd w:val="clear" w:color="auto" w:fill="auto"/>
          </w:tcPr>
          <w:p w:rsidR="00597BDF" w:rsidRPr="00597BDF" w:rsidRDefault="00183EB7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1139505,6</w:t>
            </w:r>
          </w:p>
        </w:tc>
        <w:tc>
          <w:tcPr>
            <w:tcW w:w="1781" w:type="dxa"/>
            <w:shd w:val="clear" w:color="auto" w:fill="auto"/>
          </w:tcPr>
          <w:p w:rsidR="00597BDF" w:rsidRPr="00597BDF" w:rsidRDefault="00AB664A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-40348,3</w:t>
            </w:r>
          </w:p>
        </w:tc>
        <w:tc>
          <w:tcPr>
            <w:tcW w:w="1461" w:type="dxa"/>
            <w:shd w:val="clear" w:color="auto" w:fill="auto"/>
          </w:tcPr>
          <w:p w:rsidR="00597BDF" w:rsidRPr="00597BDF" w:rsidRDefault="00AB664A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</w:tr>
      <w:tr w:rsidR="00597BDF" w:rsidRPr="00597BDF" w:rsidTr="00CF71DE">
        <w:tc>
          <w:tcPr>
            <w:tcW w:w="3528" w:type="dxa"/>
            <w:shd w:val="clear" w:color="auto" w:fill="auto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бюджетов других уровней*</w:t>
            </w:r>
          </w:p>
        </w:tc>
        <w:tc>
          <w:tcPr>
            <w:tcW w:w="1620" w:type="dxa"/>
            <w:shd w:val="clear" w:color="auto" w:fill="auto"/>
          </w:tcPr>
          <w:p w:rsidR="00597BDF" w:rsidRPr="00597BDF" w:rsidRDefault="00DD5AEC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1180343,0</w:t>
            </w:r>
          </w:p>
        </w:tc>
        <w:tc>
          <w:tcPr>
            <w:tcW w:w="1442" w:type="dxa"/>
            <w:shd w:val="clear" w:color="auto" w:fill="auto"/>
          </w:tcPr>
          <w:p w:rsidR="00597BDF" w:rsidRPr="00597BDF" w:rsidRDefault="00DD5AEC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1139994,7</w:t>
            </w:r>
          </w:p>
        </w:tc>
        <w:tc>
          <w:tcPr>
            <w:tcW w:w="1781" w:type="dxa"/>
            <w:shd w:val="clear" w:color="auto" w:fill="auto"/>
          </w:tcPr>
          <w:p w:rsidR="00597BDF" w:rsidRPr="00597BDF" w:rsidRDefault="00DD5AEC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-40348,3</w:t>
            </w:r>
          </w:p>
        </w:tc>
        <w:tc>
          <w:tcPr>
            <w:tcW w:w="1461" w:type="dxa"/>
            <w:shd w:val="clear" w:color="auto" w:fill="auto"/>
          </w:tcPr>
          <w:p w:rsidR="00597BDF" w:rsidRPr="00597BDF" w:rsidRDefault="00DD5AEC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</w:tr>
      <w:tr w:rsidR="00597BDF" w:rsidRPr="00597BDF" w:rsidTr="00CF71DE">
        <w:tc>
          <w:tcPr>
            <w:tcW w:w="3528" w:type="dxa"/>
            <w:shd w:val="clear" w:color="auto" w:fill="auto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</w:tcPr>
          <w:p w:rsidR="00597BDF" w:rsidRPr="00597BDF" w:rsidRDefault="00CD69F9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1316683,3</w:t>
            </w:r>
          </w:p>
        </w:tc>
        <w:tc>
          <w:tcPr>
            <w:tcW w:w="1442" w:type="dxa"/>
            <w:shd w:val="clear" w:color="auto" w:fill="auto"/>
          </w:tcPr>
          <w:p w:rsidR="00597BDF" w:rsidRPr="00597BDF" w:rsidRDefault="00CD69F9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1278815,6</w:t>
            </w:r>
          </w:p>
        </w:tc>
        <w:tc>
          <w:tcPr>
            <w:tcW w:w="1781" w:type="dxa"/>
            <w:shd w:val="clear" w:color="auto" w:fill="auto"/>
          </w:tcPr>
          <w:p w:rsidR="00597BDF" w:rsidRPr="00597BDF" w:rsidRDefault="00DD5AEC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-37867,7</w:t>
            </w:r>
          </w:p>
        </w:tc>
        <w:tc>
          <w:tcPr>
            <w:tcW w:w="1461" w:type="dxa"/>
            <w:shd w:val="clear" w:color="auto" w:fill="auto"/>
          </w:tcPr>
          <w:p w:rsidR="00597BDF" w:rsidRPr="00597BDF" w:rsidRDefault="00DD5AEC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</w:tr>
    </w:tbl>
    <w:p w:rsidR="00597BDF" w:rsidRPr="00597BDF" w:rsidRDefault="00597BDF" w:rsidP="00597B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7BDF">
        <w:rPr>
          <w:rFonts w:ascii="Times New Roman" w:eastAsia="Times New Roman" w:hAnsi="Times New Roman" w:cs="Times New Roman"/>
          <w:lang w:eastAsia="ru-RU"/>
        </w:rPr>
        <w:t xml:space="preserve">без учета возврата остатков субсидий, субвенций и иных межбюджетных трансфертов, имеющих целевое назначение прошлых лет по плановым показателям </w:t>
      </w:r>
      <w:r w:rsidR="00DD5AEC">
        <w:rPr>
          <w:rFonts w:ascii="Times New Roman" w:eastAsia="Times New Roman" w:hAnsi="Times New Roman" w:cs="Times New Roman"/>
          <w:lang w:eastAsia="ru-RU"/>
        </w:rPr>
        <w:t>489,1</w:t>
      </w:r>
      <w:r w:rsidRPr="00597BDF">
        <w:rPr>
          <w:rFonts w:ascii="Times New Roman" w:eastAsia="Times New Roman" w:hAnsi="Times New Roman" w:cs="Times New Roman"/>
          <w:lang w:eastAsia="ru-RU"/>
        </w:rPr>
        <w:t xml:space="preserve"> рублей, фактическое исполнение 1</w:t>
      </w:r>
      <w:r w:rsidR="00DD5AEC">
        <w:rPr>
          <w:rFonts w:ascii="Times New Roman" w:eastAsia="Times New Roman" w:hAnsi="Times New Roman" w:cs="Times New Roman"/>
          <w:lang w:eastAsia="ru-RU"/>
        </w:rPr>
        <w:t>489,1</w:t>
      </w:r>
      <w:r w:rsidRPr="00597BDF">
        <w:rPr>
          <w:rFonts w:ascii="Times New Roman" w:eastAsia="Times New Roman" w:hAnsi="Times New Roman" w:cs="Times New Roman"/>
          <w:lang w:eastAsia="ru-RU"/>
        </w:rPr>
        <w:t xml:space="preserve"> тыс. рублей процент исполнения 100,0% </w:t>
      </w:r>
    </w:p>
    <w:p w:rsidR="00676F05" w:rsidRPr="00221041" w:rsidRDefault="00676F05" w:rsidP="00676F05">
      <w:pPr>
        <w:shd w:val="clear" w:color="auto" w:fill="FFFFFF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0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 ходе анализа исполнения доходной части районного бюджета</w:t>
      </w:r>
      <w:r w:rsidRPr="002210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за 2021 </w:t>
      </w:r>
      <w:r w:rsidRPr="002210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год, </w:t>
      </w:r>
      <w:r w:rsidRPr="00221041">
        <w:rPr>
          <w:rFonts w:ascii="Times New Roman" w:eastAsia="Times New Roman" w:hAnsi="Times New Roman" w:cs="Times New Roman"/>
          <w:sz w:val="26"/>
          <w:szCs w:val="26"/>
        </w:rPr>
        <w:t xml:space="preserve">установлено, что </w:t>
      </w:r>
      <w:r w:rsidRPr="00221041">
        <w:rPr>
          <w:rFonts w:ascii="Times New Roman" w:eastAsia="Times New Roman" w:hAnsi="Times New Roman" w:cs="Times New Roman"/>
          <w:spacing w:val="2"/>
          <w:sz w:val="26"/>
          <w:szCs w:val="26"/>
        </w:rPr>
        <w:t>бюджет по доходам исполнен</w:t>
      </w:r>
      <w:r w:rsidRPr="0022104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на 97,1%. </w:t>
      </w:r>
      <w:r w:rsidRPr="00221041">
        <w:rPr>
          <w:rFonts w:ascii="Times New Roman" w:eastAsia="Times New Roman" w:hAnsi="Times New Roman" w:cs="Times New Roman"/>
          <w:sz w:val="26"/>
          <w:szCs w:val="26"/>
        </w:rPr>
        <w:t>Объем утвержденных бюджетных назначений по доходам на 2021 год составил 1316683,3 тыс. рублей.</w:t>
      </w:r>
      <w:r w:rsidRPr="0022104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221041">
        <w:rPr>
          <w:rFonts w:ascii="Times New Roman" w:eastAsia="Times New Roman" w:hAnsi="Times New Roman" w:cs="Times New Roman"/>
          <w:sz w:val="26"/>
          <w:szCs w:val="26"/>
        </w:rPr>
        <w:t>Поступило доходов на сумму 1278815,6</w:t>
      </w:r>
      <w:r w:rsidRPr="0022104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221041">
        <w:rPr>
          <w:rFonts w:ascii="Times New Roman" w:eastAsia="Times New Roman" w:hAnsi="Times New Roman" w:cs="Times New Roman"/>
          <w:sz w:val="26"/>
          <w:szCs w:val="26"/>
        </w:rPr>
        <w:t>тыс. рублей, что ниже плановых назначений на 37867,7 тыс. рублей в том числе:</w:t>
      </w:r>
    </w:p>
    <w:p w:rsidR="00676F05" w:rsidRPr="00221041" w:rsidRDefault="00676F05" w:rsidP="00676F05">
      <w:pPr>
        <w:shd w:val="clear" w:color="auto" w:fill="FFFFFF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041">
        <w:rPr>
          <w:rFonts w:ascii="Times New Roman" w:eastAsia="Times New Roman" w:hAnsi="Times New Roman" w:cs="Times New Roman"/>
          <w:sz w:val="26"/>
          <w:szCs w:val="26"/>
        </w:rPr>
        <w:t xml:space="preserve">- налоговые доходы- </w:t>
      </w:r>
      <w:r w:rsidR="00184A27" w:rsidRPr="00221041">
        <w:rPr>
          <w:rFonts w:ascii="Times New Roman" w:eastAsia="Times New Roman" w:hAnsi="Times New Roman" w:cs="Times New Roman"/>
          <w:sz w:val="26"/>
          <w:szCs w:val="26"/>
        </w:rPr>
        <w:t>117432,6</w:t>
      </w:r>
      <w:r w:rsidRPr="00221041">
        <w:rPr>
          <w:rFonts w:ascii="Times New Roman" w:eastAsia="Times New Roman" w:hAnsi="Times New Roman" w:cs="Times New Roman"/>
          <w:sz w:val="26"/>
          <w:szCs w:val="26"/>
        </w:rPr>
        <w:t xml:space="preserve"> тыс. рублей или </w:t>
      </w:r>
      <w:r w:rsidR="00184A27" w:rsidRPr="00221041">
        <w:rPr>
          <w:rFonts w:ascii="Times New Roman" w:eastAsia="Times New Roman" w:hAnsi="Times New Roman" w:cs="Times New Roman"/>
          <w:sz w:val="26"/>
          <w:szCs w:val="26"/>
        </w:rPr>
        <w:t>101,5</w:t>
      </w:r>
      <w:r w:rsidRPr="00221041">
        <w:rPr>
          <w:rFonts w:ascii="Times New Roman" w:eastAsia="Times New Roman" w:hAnsi="Times New Roman" w:cs="Times New Roman"/>
          <w:sz w:val="26"/>
          <w:szCs w:val="26"/>
        </w:rPr>
        <w:t>%;</w:t>
      </w:r>
    </w:p>
    <w:p w:rsidR="00676F05" w:rsidRPr="00221041" w:rsidRDefault="00676F05" w:rsidP="00676F05">
      <w:pPr>
        <w:shd w:val="clear" w:color="auto" w:fill="FFFFFF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041">
        <w:rPr>
          <w:rFonts w:ascii="Times New Roman" w:eastAsia="Times New Roman" w:hAnsi="Times New Roman" w:cs="Times New Roman"/>
          <w:sz w:val="26"/>
          <w:szCs w:val="26"/>
        </w:rPr>
        <w:t>- неналоговые доходы -</w:t>
      </w:r>
      <w:r w:rsidR="00184A27" w:rsidRPr="00221041">
        <w:rPr>
          <w:rFonts w:ascii="Times New Roman" w:eastAsia="Times New Roman" w:hAnsi="Times New Roman" w:cs="Times New Roman"/>
          <w:sz w:val="26"/>
          <w:szCs w:val="26"/>
        </w:rPr>
        <w:t>21877,4</w:t>
      </w:r>
      <w:r w:rsidRPr="00221041">
        <w:rPr>
          <w:rFonts w:ascii="Times New Roman" w:eastAsia="Times New Roman" w:hAnsi="Times New Roman" w:cs="Times New Roman"/>
          <w:sz w:val="26"/>
          <w:szCs w:val="26"/>
        </w:rPr>
        <w:t xml:space="preserve"> тыс. рублей или </w:t>
      </w:r>
      <w:r w:rsidR="00184A27" w:rsidRPr="00221041">
        <w:rPr>
          <w:rFonts w:ascii="Times New Roman" w:eastAsia="Times New Roman" w:hAnsi="Times New Roman" w:cs="Times New Roman"/>
          <w:sz w:val="26"/>
          <w:szCs w:val="26"/>
        </w:rPr>
        <w:t>103,8</w:t>
      </w:r>
      <w:r w:rsidRPr="00221041">
        <w:rPr>
          <w:rFonts w:ascii="Times New Roman" w:eastAsia="Times New Roman" w:hAnsi="Times New Roman" w:cs="Times New Roman"/>
          <w:sz w:val="26"/>
          <w:szCs w:val="26"/>
        </w:rPr>
        <w:t>%;</w:t>
      </w:r>
    </w:p>
    <w:p w:rsidR="00676F05" w:rsidRPr="00221041" w:rsidRDefault="00676F05" w:rsidP="00676F05">
      <w:pPr>
        <w:shd w:val="clear" w:color="auto" w:fill="FFFFFF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041">
        <w:rPr>
          <w:rFonts w:ascii="Times New Roman" w:eastAsia="Times New Roman" w:hAnsi="Times New Roman" w:cs="Times New Roman"/>
          <w:sz w:val="26"/>
          <w:szCs w:val="26"/>
        </w:rPr>
        <w:t xml:space="preserve">- безвозмездные поступления </w:t>
      </w:r>
      <w:r w:rsidR="00184A27" w:rsidRPr="00221041">
        <w:rPr>
          <w:rFonts w:ascii="Times New Roman" w:eastAsia="Times New Roman" w:hAnsi="Times New Roman" w:cs="Times New Roman"/>
          <w:sz w:val="26"/>
          <w:szCs w:val="26"/>
        </w:rPr>
        <w:t>1139505,6</w:t>
      </w:r>
      <w:r w:rsidRPr="00221041">
        <w:rPr>
          <w:rFonts w:ascii="Times New Roman" w:eastAsia="Times New Roman" w:hAnsi="Times New Roman" w:cs="Times New Roman"/>
          <w:sz w:val="26"/>
          <w:szCs w:val="26"/>
        </w:rPr>
        <w:t xml:space="preserve"> тыс. рублей или </w:t>
      </w:r>
      <w:r w:rsidR="00184A27" w:rsidRPr="00221041">
        <w:rPr>
          <w:rFonts w:ascii="Times New Roman" w:eastAsia="Times New Roman" w:hAnsi="Times New Roman" w:cs="Times New Roman"/>
          <w:sz w:val="26"/>
          <w:szCs w:val="26"/>
        </w:rPr>
        <w:t>96,5</w:t>
      </w:r>
      <w:r w:rsidRPr="00221041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597BDF" w:rsidRPr="00221041" w:rsidRDefault="00597BDF" w:rsidP="00597BDF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по исполнению доходной части бюджета за 202</w:t>
      </w:r>
      <w:r w:rsidR="00A9235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сравнении с 20</w:t>
      </w:r>
      <w:r w:rsidR="00A9235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представлены в таблице</w:t>
      </w:r>
    </w:p>
    <w:p w:rsidR="00597BDF" w:rsidRPr="00597BDF" w:rsidRDefault="00597BDF" w:rsidP="00597BD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DF" w:rsidRPr="00597BDF" w:rsidRDefault="00597BDF" w:rsidP="00597BD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  <w:r w:rsidRPr="00597BDF">
        <w:rPr>
          <w:rFonts w:ascii="Times New Roman" w:eastAsia="Times New Roman" w:hAnsi="Times New Roman" w:cs="Times New Roman"/>
          <w:lang w:eastAsia="ru-RU"/>
        </w:rPr>
        <w:lastRenderedPageBreak/>
        <w:t>(тыс. руб)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254"/>
        <w:gridCol w:w="1289"/>
        <w:gridCol w:w="1239"/>
        <w:gridCol w:w="1398"/>
        <w:gridCol w:w="1449"/>
        <w:gridCol w:w="1369"/>
      </w:tblGrid>
      <w:tr w:rsidR="00597BDF" w:rsidRPr="00597BDF" w:rsidTr="00CF71DE">
        <w:tc>
          <w:tcPr>
            <w:tcW w:w="2070" w:type="dxa"/>
            <w:shd w:val="clear" w:color="auto" w:fill="BFBFBF" w:themeFill="background1" w:themeFillShade="BF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1254" w:type="dxa"/>
            <w:shd w:val="clear" w:color="auto" w:fill="BFBFBF" w:themeFill="background1" w:themeFillShade="BF"/>
          </w:tcPr>
          <w:p w:rsidR="00597BDF" w:rsidRPr="00597BDF" w:rsidRDefault="00597BDF" w:rsidP="00676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Отчет 20</w:t>
            </w:r>
            <w:r w:rsidR="00A923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76F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289" w:type="dxa"/>
            <w:shd w:val="clear" w:color="auto" w:fill="BFBFBF" w:themeFill="background1" w:themeFillShade="BF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структура</w:t>
            </w:r>
          </w:p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597BDF" w:rsidRPr="00597BDF" w:rsidRDefault="00597BDF" w:rsidP="00A923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Отчет 202</w:t>
            </w:r>
            <w:r w:rsidR="00A923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398" w:type="dxa"/>
            <w:shd w:val="clear" w:color="auto" w:fill="BFBFBF" w:themeFill="background1" w:themeFillShade="BF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Структура  доходов 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Темп роста</w:t>
            </w:r>
          </w:p>
        </w:tc>
      </w:tr>
      <w:tr w:rsidR="00597BDF" w:rsidRPr="00597BDF" w:rsidTr="00CF71DE">
        <w:tc>
          <w:tcPr>
            <w:tcW w:w="2070" w:type="dxa"/>
            <w:shd w:val="clear" w:color="auto" w:fill="auto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254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116018,9</w:t>
            </w:r>
          </w:p>
        </w:tc>
        <w:tc>
          <w:tcPr>
            <w:tcW w:w="128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23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139310,0</w:t>
            </w:r>
          </w:p>
        </w:tc>
        <w:tc>
          <w:tcPr>
            <w:tcW w:w="1398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44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2480,6</w:t>
            </w:r>
          </w:p>
        </w:tc>
        <w:tc>
          <w:tcPr>
            <w:tcW w:w="136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597BDF" w:rsidRPr="00597BDF" w:rsidTr="00CF71DE">
        <w:tc>
          <w:tcPr>
            <w:tcW w:w="2070" w:type="dxa"/>
            <w:shd w:val="clear" w:color="auto" w:fill="auto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-налоговые доходы</w:t>
            </w:r>
          </w:p>
        </w:tc>
        <w:tc>
          <w:tcPr>
            <w:tcW w:w="1254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96845,7</w:t>
            </w:r>
          </w:p>
        </w:tc>
        <w:tc>
          <w:tcPr>
            <w:tcW w:w="128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23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117432,6</w:t>
            </w:r>
          </w:p>
        </w:tc>
        <w:tc>
          <w:tcPr>
            <w:tcW w:w="1398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144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1690,1</w:t>
            </w:r>
          </w:p>
        </w:tc>
        <w:tc>
          <w:tcPr>
            <w:tcW w:w="136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121,2</w:t>
            </w:r>
          </w:p>
        </w:tc>
      </w:tr>
      <w:tr w:rsidR="00597BDF" w:rsidRPr="00597BDF" w:rsidTr="00CF71DE">
        <w:tc>
          <w:tcPr>
            <w:tcW w:w="2070" w:type="dxa"/>
            <w:shd w:val="clear" w:color="auto" w:fill="auto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-неналоговые </w:t>
            </w:r>
          </w:p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254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19173,2</w:t>
            </w:r>
          </w:p>
        </w:tc>
        <w:tc>
          <w:tcPr>
            <w:tcW w:w="128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23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21877,4</w:t>
            </w:r>
          </w:p>
        </w:tc>
        <w:tc>
          <w:tcPr>
            <w:tcW w:w="1398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44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790,5</w:t>
            </w:r>
          </w:p>
        </w:tc>
        <w:tc>
          <w:tcPr>
            <w:tcW w:w="136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114,1</w:t>
            </w:r>
          </w:p>
        </w:tc>
      </w:tr>
      <w:tr w:rsidR="00597BDF" w:rsidRPr="00597BDF" w:rsidTr="00CF71DE">
        <w:tc>
          <w:tcPr>
            <w:tcW w:w="2070" w:type="dxa"/>
            <w:shd w:val="clear" w:color="auto" w:fill="auto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254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1058392,5</w:t>
            </w:r>
          </w:p>
        </w:tc>
        <w:tc>
          <w:tcPr>
            <w:tcW w:w="128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23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1139505,6</w:t>
            </w:r>
          </w:p>
        </w:tc>
        <w:tc>
          <w:tcPr>
            <w:tcW w:w="1398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  <w:tc>
          <w:tcPr>
            <w:tcW w:w="144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81113,1</w:t>
            </w:r>
          </w:p>
        </w:tc>
        <w:tc>
          <w:tcPr>
            <w:tcW w:w="136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</w:tr>
      <w:tr w:rsidR="00597BDF" w:rsidRPr="00597BDF" w:rsidTr="00CF71DE">
        <w:tc>
          <w:tcPr>
            <w:tcW w:w="2070" w:type="dxa"/>
            <w:shd w:val="clear" w:color="auto" w:fill="auto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1254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1174411,5</w:t>
            </w:r>
          </w:p>
        </w:tc>
        <w:tc>
          <w:tcPr>
            <w:tcW w:w="1289" w:type="dxa"/>
            <w:shd w:val="clear" w:color="auto" w:fill="auto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1278815,6</w:t>
            </w:r>
          </w:p>
        </w:tc>
        <w:tc>
          <w:tcPr>
            <w:tcW w:w="1398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4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104404,1</w:t>
            </w:r>
          </w:p>
        </w:tc>
        <w:tc>
          <w:tcPr>
            <w:tcW w:w="1369" w:type="dxa"/>
            <w:shd w:val="clear" w:color="auto" w:fill="auto"/>
          </w:tcPr>
          <w:p w:rsidR="00597BDF" w:rsidRPr="00597BDF" w:rsidRDefault="00676F0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108,9</w:t>
            </w:r>
          </w:p>
        </w:tc>
      </w:tr>
    </w:tbl>
    <w:p w:rsidR="00597BDF" w:rsidRPr="00597BDF" w:rsidRDefault="00597BDF" w:rsidP="00597BDF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597BDF" w:rsidRPr="00221041" w:rsidRDefault="00184A27" w:rsidP="00597BDF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анализа доходной части бюджета в сравнении с поступлениями доходов в 2020 году отмечается рост налоговых доходов в размере 1690,1 тыс. рублей (121,2%), неналоговых доходов в сумме 790,5 тыс. рублей (114,1%), безвозмездных поступлений в размере 81113,1 тыс. рублей (108,9%).</w:t>
      </w:r>
    </w:p>
    <w:p w:rsidR="00597BDF" w:rsidRPr="00597BDF" w:rsidRDefault="00597BDF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Структура доходов районного бюджета представлена в таблице</w:t>
      </w:r>
      <w:r w:rsidRPr="0059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    </w:t>
      </w:r>
    </w:p>
    <w:p w:rsidR="00597BDF" w:rsidRPr="00597BDF" w:rsidRDefault="00597BDF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BDF" w:rsidRPr="00597BDF" w:rsidRDefault="00597BDF" w:rsidP="00597B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7BDF">
        <w:rPr>
          <w:rFonts w:ascii="Times New Roman" w:eastAsia="Times New Roman" w:hAnsi="Times New Roman" w:cs="Times New Roman"/>
          <w:lang w:eastAsia="ru-RU"/>
        </w:rPr>
        <w:t>Таблица 2</w:t>
      </w:r>
    </w:p>
    <w:p w:rsidR="00597BDF" w:rsidRPr="00597BDF" w:rsidRDefault="00597BDF" w:rsidP="00597B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7BDF">
        <w:rPr>
          <w:rFonts w:ascii="Times New Roman" w:eastAsia="Times New Roman" w:hAnsi="Times New Roman" w:cs="Times New Roman"/>
          <w:lang w:eastAsia="ru-RU"/>
        </w:rPr>
        <w:t xml:space="preserve"> тыс. рублей</w:t>
      </w:r>
    </w:p>
    <w:tbl>
      <w:tblPr>
        <w:tblW w:w="9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1546"/>
        <w:gridCol w:w="1641"/>
        <w:gridCol w:w="1418"/>
        <w:gridCol w:w="1417"/>
        <w:gridCol w:w="1228"/>
      </w:tblGrid>
      <w:tr w:rsidR="00597BDF" w:rsidRPr="00597BDF" w:rsidTr="000C17DE">
        <w:trPr>
          <w:trHeight w:val="1009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546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</w:t>
            </w:r>
          </w:p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Решением</w:t>
            </w:r>
          </w:p>
          <w:p w:rsidR="00597BDF" w:rsidRPr="00597BDF" w:rsidRDefault="00597BDF" w:rsidP="00CB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от 2</w:t>
            </w:r>
            <w:r w:rsidR="00CB0C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.12.20</w:t>
            </w:r>
            <w:r w:rsidR="00CB0C5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CB0C58">
              <w:rPr>
                <w:rFonts w:ascii="Times New Roman" w:eastAsia="Times New Roman" w:hAnsi="Times New Roman" w:cs="Times New Roman"/>
                <w:lang w:eastAsia="ru-RU"/>
              </w:rPr>
              <w:t>3-29р</w:t>
            </w:r>
          </w:p>
        </w:tc>
        <w:tc>
          <w:tcPr>
            <w:tcW w:w="1641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</w:t>
            </w:r>
          </w:p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</w:t>
            </w:r>
          </w:p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от 2</w:t>
            </w:r>
            <w:r w:rsidR="000C17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0C17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97BDF" w:rsidRPr="00597BDF" w:rsidRDefault="00597BDF" w:rsidP="000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0C17DE">
              <w:rPr>
                <w:rFonts w:ascii="Times New Roman" w:eastAsia="Times New Roman" w:hAnsi="Times New Roman" w:cs="Times New Roman"/>
                <w:lang w:eastAsia="ru-RU"/>
              </w:rPr>
              <w:t>12-108р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Уточненные бюджетные назначения</w:t>
            </w:r>
          </w:p>
        </w:tc>
        <w:tc>
          <w:tcPr>
            <w:tcW w:w="1417" w:type="dxa"/>
          </w:tcPr>
          <w:p w:rsidR="00597BDF" w:rsidRPr="00597BDF" w:rsidRDefault="000C17DE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</w:tc>
        <w:tc>
          <w:tcPr>
            <w:tcW w:w="1228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5/4</w:t>
            </w:r>
          </w:p>
        </w:tc>
      </w:tr>
      <w:tr w:rsidR="00597BDF" w:rsidRPr="00597BDF" w:rsidTr="000C17DE">
        <w:trPr>
          <w:trHeight w:val="244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6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1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8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546" w:type="dxa"/>
            <w:vAlign w:val="bottom"/>
          </w:tcPr>
          <w:p w:rsidR="00597BDF" w:rsidRPr="00597BDF" w:rsidRDefault="00501548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114061,4</w:t>
            </w:r>
          </w:p>
        </w:tc>
        <w:tc>
          <w:tcPr>
            <w:tcW w:w="1641" w:type="dxa"/>
            <w:vAlign w:val="bottom"/>
          </w:tcPr>
          <w:p w:rsidR="00597BDF" w:rsidRPr="00597BDF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136829,4</w:t>
            </w:r>
          </w:p>
        </w:tc>
        <w:tc>
          <w:tcPr>
            <w:tcW w:w="1418" w:type="dxa"/>
          </w:tcPr>
          <w:p w:rsidR="0073685D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7BDF" w:rsidRPr="00597BDF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136829,4</w:t>
            </w:r>
          </w:p>
        </w:tc>
        <w:tc>
          <w:tcPr>
            <w:tcW w:w="1417" w:type="dxa"/>
            <w:vAlign w:val="bottom"/>
          </w:tcPr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139310,0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101,8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546" w:type="dxa"/>
            <w:vAlign w:val="bottom"/>
          </w:tcPr>
          <w:p w:rsidR="00597BDF" w:rsidRPr="00597BDF" w:rsidRDefault="000C17DE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7000,0</w:t>
            </w:r>
          </w:p>
        </w:tc>
        <w:tc>
          <w:tcPr>
            <w:tcW w:w="1641" w:type="dxa"/>
            <w:vAlign w:val="bottom"/>
          </w:tcPr>
          <w:p w:rsidR="00597BDF" w:rsidRPr="00597BDF" w:rsidRDefault="00E507B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11621,7</w:t>
            </w:r>
          </w:p>
        </w:tc>
        <w:tc>
          <w:tcPr>
            <w:tcW w:w="1418" w:type="dxa"/>
          </w:tcPr>
          <w:p w:rsidR="0073685D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11621,7</w:t>
            </w:r>
          </w:p>
        </w:tc>
        <w:tc>
          <w:tcPr>
            <w:tcW w:w="1417" w:type="dxa"/>
            <w:vAlign w:val="bottom"/>
          </w:tcPr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14857,3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</w:tr>
      <w:tr w:rsidR="00597BDF" w:rsidRPr="00597BDF" w:rsidTr="000C17DE">
        <w:trPr>
          <w:trHeight w:val="47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46" w:type="dxa"/>
            <w:vAlign w:val="bottom"/>
          </w:tcPr>
          <w:p w:rsidR="00597BDF" w:rsidRPr="00597BDF" w:rsidRDefault="000C17DE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71100,0</w:t>
            </w:r>
          </w:p>
        </w:tc>
        <w:tc>
          <w:tcPr>
            <w:tcW w:w="1641" w:type="dxa"/>
            <w:vAlign w:val="bottom"/>
          </w:tcPr>
          <w:p w:rsidR="00597BDF" w:rsidRPr="00597BDF" w:rsidRDefault="00E507B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79046,7</w:t>
            </w:r>
          </w:p>
        </w:tc>
        <w:tc>
          <w:tcPr>
            <w:tcW w:w="1418" w:type="dxa"/>
          </w:tcPr>
          <w:p w:rsidR="0073685D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79046,7</w:t>
            </w:r>
          </w:p>
        </w:tc>
        <w:tc>
          <w:tcPr>
            <w:tcW w:w="1417" w:type="dxa"/>
            <w:vAlign w:val="bottom"/>
          </w:tcPr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75948,1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0571F5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доход-всего, в том числе</w:t>
            </w:r>
          </w:p>
        </w:tc>
        <w:tc>
          <w:tcPr>
            <w:tcW w:w="1546" w:type="dxa"/>
            <w:vAlign w:val="bottom"/>
          </w:tcPr>
          <w:p w:rsidR="00597BDF" w:rsidRP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14001,1</w:t>
            </w:r>
          </w:p>
        </w:tc>
        <w:tc>
          <w:tcPr>
            <w:tcW w:w="1641" w:type="dxa"/>
            <w:vAlign w:val="bottom"/>
          </w:tcPr>
          <w:p w:rsidR="00597BDF" w:rsidRPr="000571F5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22680,1</w:t>
            </w:r>
          </w:p>
        </w:tc>
        <w:tc>
          <w:tcPr>
            <w:tcW w:w="1418" w:type="dxa"/>
          </w:tcPr>
          <w:p w:rsidR="0073685D" w:rsidRPr="000571F5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7BDF" w:rsidRPr="000571F5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22680,0</w:t>
            </w:r>
          </w:p>
        </w:tc>
        <w:tc>
          <w:tcPr>
            <w:tcW w:w="1417" w:type="dxa"/>
            <w:vAlign w:val="bottom"/>
          </w:tcPr>
          <w:p w:rsidR="00597BDF" w:rsidRPr="000571F5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24187,1</w:t>
            </w:r>
          </w:p>
        </w:tc>
        <w:tc>
          <w:tcPr>
            <w:tcW w:w="1228" w:type="dxa"/>
            <w:vAlign w:val="bottom"/>
          </w:tcPr>
          <w:p w:rsidR="00597BDF" w:rsidRPr="000571F5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106,6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2933,0</w:t>
            </w:r>
          </w:p>
        </w:tc>
        <w:tc>
          <w:tcPr>
            <w:tcW w:w="1641" w:type="dxa"/>
            <w:vAlign w:val="bottom"/>
          </w:tcPr>
          <w:p w:rsidR="00597BDF" w:rsidRPr="00597BDF" w:rsidRDefault="00E507B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4268,0</w:t>
            </w:r>
          </w:p>
        </w:tc>
        <w:tc>
          <w:tcPr>
            <w:tcW w:w="1418" w:type="dxa"/>
          </w:tcPr>
          <w:p w:rsidR="0073685D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5D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5D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5D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73685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4268,0</w:t>
            </w:r>
          </w:p>
        </w:tc>
        <w:tc>
          <w:tcPr>
            <w:tcW w:w="1417" w:type="dxa"/>
            <w:vAlign w:val="bottom"/>
          </w:tcPr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4718,0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7443,0</w:t>
            </w:r>
          </w:p>
        </w:tc>
        <w:tc>
          <w:tcPr>
            <w:tcW w:w="1641" w:type="dxa"/>
            <w:vAlign w:val="bottom"/>
          </w:tcPr>
          <w:p w:rsidR="00597BDF" w:rsidRPr="00597BDF" w:rsidRDefault="00E507B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10155,0</w:t>
            </w:r>
          </w:p>
        </w:tc>
        <w:tc>
          <w:tcPr>
            <w:tcW w:w="1418" w:type="dxa"/>
          </w:tcPr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10155,0</w:t>
            </w:r>
          </w:p>
        </w:tc>
        <w:tc>
          <w:tcPr>
            <w:tcW w:w="1417" w:type="dxa"/>
            <w:vAlign w:val="bottom"/>
          </w:tcPr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10110,1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Минимальный налог, зачисляемый в бюджеты субъектов Российской Федерации ( за налоговые 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периоды, истекшие до 1 января 2016 года)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F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3,1</w:t>
            </w:r>
          </w:p>
        </w:tc>
        <w:tc>
          <w:tcPr>
            <w:tcW w:w="1641" w:type="dxa"/>
            <w:vAlign w:val="bottom"/>
          </w:tcPr>
          <w:p w:rsidR="00597BDF" w:rsidRPr="00597BDF" w:rsidRDefault="00E507B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418" w:type="dxa"/>
          </w:tcPr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59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417" w:type="dxa"/>
            <w:vAlign w:val="bottom"/>
          </w:tcPr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1,4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F03">
              <w:rPr>
                <w:rFonts w:ascii="Times New Roman" w:eastAsia="Times New Roman" w:hAnsi="Times New Roman" w:cs="Times New Roman"/>
                <w:lang w:eastAsia="ru-RU"/>
              </w:rPr>
              <w:t>1870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41" w:type="dxa"/>
            <w:vAlign w:val="bottom"/>
          </w:tcPr>
          <w:p w:rsidR="00597BDF" w:rsidRPr="00597BDF" w:rsidRDefault="00E507B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2147,0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2147,0</w:t>
            </w:r>
          </w:p>
        </w:tc>
        <w:tc>
          <w:tcPr>
            <w:tcW w:w="1417" w:type="dxa"/>
            <w:vAlign w:val="bottom"/>
          </w:tcPr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2161,9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655874" w:rsidRPr="00597BDF" w:rsidTr="000C17DE">
        <w:trPr>
          <w:trHeight w:val="505"/>
        </w:trPr>
        <w:tc>
          <w:tcPr>
            <w:tcW w:w="2730" w:type="dxa"/>
          </w:tcPr>
          <w:p w:rsidR="00655874" w:rsidRPr="00597BDF" w:rsidRDefault="00655874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46" w:type="dxa"/>
            <w:vAlign w:val="bottom"/>
          </w:tcPr>
          <w:p w:rsidR="00655874" w:rsidRPr="00112F03" w:rsidRDefault="0065587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vAlign w:val="bottom"/>
          </w:tcPr>
          <w:p w:rsidR="00655874" w:rsidRDefault="0065587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55874" w:rsidRDefault="0065587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74" w:rsidRDefault="0065587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74" w:rsidRDefault="0065587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74" w:rsidRDefault="0065587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74" w:rsidRDefault="0065587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74" w:rsidRDefault="0065587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74" w:rsidRPr="00597BDF" w:rsidRDefault="0065587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55874" w:rsidRDefault="0065587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28" w:type="dxa"/>
            <w:vAlign w:val="bottom"/>
          </w:tcPr>
          <w:p w:rsidR="00655874" w:rsidRDefault="0065587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F03">
              <w:rPr>
                <w:rFonts w:ascii="Times New Roman" w:eastAsia="Times New Roman" w:hAnsi="Times New Roman" w:cs="Times New Roman"/>
                <w:lang w:eastAsia="ru-RU"/>
              </w:rPr>
              <w:t>1692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</w:p>
        </w:tc>
        <w:tc>
          <w:tcPr>
            <w:tcW w:w="1641" w:type="dxa"/>
            <w:vAlign w:val="bottom"/>
          </w:tcPr>
          <w:p w:rsidR="00597BDF" w:rsidRPr="00597BDF" w:rsidRDefault="00E507B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3607,0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3607,0</w:t>
            </w:r>
          </w:p>
        </w:tc>
        <w:tc>
          <w:tcPr>
            <w:tcW w:w="1417" w:type="dxa"/>
            <w:vAlign w:val="bottom"/>
          </w:tcPr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3606,5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641" w:type="dxa"/>
            <w:vAlign w:val="bottom"/>
          </w:tcPr>
          <w:p w:rsidR="00597BDF" w:rsidRPr="00597BDF" w:rsidRDefault="00E507B3" w:rsidP="00E5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655874" w:rsidP="00655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1417" w:type="dxa"/>
            <w:vAlign w:val="bottom"/>
          </w:tcPr>
          <w:p w:rsidR="00597BDF" w:rsidRPr="00597BDF" w:rsidRDefault="0065587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3588,8</w:t>
            </w:r>
          </w:p>
        </w:tc>
        <w:tc>
          <w:tcPr>
            <w:tcW w:w="1228" w:type="dxa"/>
            <w:vAlign w:val="bottom"/>
          </w:tcPr>
          <w:p w:rsidR="00597BDF" w:rsidRPr="00597BDF" w:rsidRDefault="0065587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143,6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0571F5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 по делам, рассматриваемых в судах общей юрисдикции, мировыми судьями</w:t>
            </w:r>
          </w:p>
        </w:tc>
        <w:tc>
          <w:tcPr>
            <w:tcW w:w="1546" w:type="dxa"/>
            <w:vAlign w:val="bottom"/>
          </w:tcPr>
          <w:p w:rsidR="00597BDF" w:rsidRPr="000571F5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2700,0</w:t>
            </w:r>
          </w:p>
        </w:tc>
        <w:tc>
          <w:tcPr>
            <w:tcW w:w="1641" w:type="dxa"/>
            <w:vAlign w:val="bottom"/>
          </w:tcPr>
          <w:p w:rsidR="00597BDF" w:rsidRPr="000571F5" w:rsidRDefault="00E507B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2380,0</w:t>
            </w:r>
          </w:p>
        </w:tc>
        <w:tc>
          <w:tcPr>
            <w:tcW w:w="1418" w:type="dxa"/>
          </w:tcPr>
          <w:p w:rsidR="00597BDF" w:rsidRPr="000571F5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7BDF" w:rsidRPr="000571F5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7BDF" w:rsidRPr="000571F5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7BDF" w:rsidRPr="000571F5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7BDF" w:rsidRPr="000571F5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2380,0</w:t>
            </w:r>
          </w:p>
        </w:tc>
        <w:tc>
          <w:tcPr>
            <w:tcW w:w="1417" w:type="dxa"/>
            <w:vAlign w:val="bottom"/>
          </w:tcPr>
          <w:p w:rsidR="00597BDF" w:rsidRPr="000571F5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2439,0</w:t>
            </w:r>
          </w:p>
        </w:tc>
        <w:tc>
          <w:tcPr>
            <w:tcW w:w="1228" w:type="dxa"/>
            <w:vAlign w:val="bottom"/>
          </w:tcPr>
          <w:p w:rsidR="00597BDF" w:rsidRPr="000571F5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102,5</w:t>
            </w:r>
          </w:p>
        </w:tc>
      </w:tr>
      <w:tr w:rsidR="00597BDF" w:rsidRPr="00597BDF" w:rsidTr="000C17DE">
        <w:trPr>
          <w:trHeight w:val="244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641" w:type="dxa"/>
            <w:vAlign w:val="bottom"/>
          </w:tcPr>
          <w:p w:rsidR="00597BDF" w:rsidRPr="00597BDF" w:rsidRDefault="00E507B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417" w:type="dxa"/>
            <w:vAlign w:val="bottom"/>
          </w:tcPr>
          <w:p w:rsidR="00597BDF" w:rsidRPr="00597BDF" w:rsidRDefault="0090195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1190,0</w:t>
            </w:r>
          </w:p>
        </w:tc>
        <w:tc>
          <w:tcPr>
            <w:tcW w:w="1641" w:type="dxa"/>
            <w:vAlign w:val="bottom"/>
          </w:tcPr>
          <w:p w:rsidR="00597BDF" w:rsidRPr="00597BDF" w:rsidRDefault="00B155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1190,0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1190,0</w:t>
            </w:r>
          </w:p>
        </w:tc>
        <w:tc>
          <w:tcPr>
            <w:tcW w:w="1417" w:type="dxa"/>
            <w:vAlign w:val="bottom"/>
          </w:tcPr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1158,9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0571F5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</w:t>
            </w:r>
          </w:p>
        </w:tc>
        <w:tc>
          <w:tcPr>
            <w:tcW w:w="1546" w:type="dxa"/>
            <w:vAlign w:val="bottom"/>
          </w:tcPr>
          <w:p w:rsidR="00597BDF" w:rsidRPr="000571F5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16218,8</w:t>
            </w:r>
          </w:p>
        </w:tc>
        <w:tc>
          <w:tcPr>
            <w:tcW w:w="1641" w:type="dxa"/>
            <w:vAlign w:val="bottom"/>
          </w:tcPr>
          <w:p w:rsidR="00597BDF" w:rsidRPr="000571F5" w:rsidRDefault="00B155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16688,9</w:t>
            </w:r>
          </w:p>
        </w:tc>
        <w:tc>
          <w:tcPr>
            <w:tcW w:w="1418" w:type="dxa"/>
          </w:tcPr>
          <w:p w:rsidR="00597BDF" w:rsidRPr="000571F5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7BDF" w:rsidRPr="000571F5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16688,9</w:t>
            </w:r>
          </w:p>
        </w:tc>
        <w:tc>
          <w:tcPr>
            <w:tcW w:w="1417" w:type="dxa"/>
            <w:vAlign w:val="bottom"/>
          </w:tcPr>
          <w:p w:rsidR="00597BDF" w:rsidRPr="000571F5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F5">
              <w:rPr>
                <w:rFonts w:ascii="Times New Roman" w:eastAsia="Times New Roman" w:hAnsi="Times New Roman" w:cs="Times New Roman"/>
                <w:b/>
                <w:lang w:eastAsia="ru-RU"/>
              </w:rPr>
              <w:t>17387,2</w:t>
            </w:r>
          </w:p>
        </w:tc>
        <w:tc>
          <w:tcPr>
            <w:tcW w:w="1228" w:type="dxa"/>
            <w:vAlign w:val="bottom"/>
          </w:tcPr>
          <w:p w:rsidR="00597BDF" w:rsidRPr="000571F5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104,1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465,9</w:t>
            </w:r>
          </w:p>
        </w:tc>
        <w:tc>
          <w:tcPr>
            <w:tcW w:w="1641" w:type="dxa"/>
            <w:vAlign w:val="bottom"/>
          </w:tcPr>
          <w:p w:rsidR="00597BDF" w:rsidRPr="00597BDF" w:rsidRDefault="00B155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1076,9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1076,9</w:t>
            </w:r>
          </w:p>
        </w:tc>
        <w:tc>
          <w:tcPr>
            <w:tcW w:w="1417" w:type="dxa"/>
            <w:vAlign w:val="bottom"/>
          </w:tcPr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1070,4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1641" w:type="dxa"/>
            <w:vAlign w:val="bottom"/>
          </w:tcPr>
          <w:p w:rsidR="00597BDF" w:rsidRPr="00597BDF" w:rsidRDefault="00B155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417,9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417,9</w:t>
            </w:r>
          </w:p>
        </w:tc>
        <w:tc>
          <w:tcPr>
            <w:tcW w:w="1417" w:type="dxa"/>
            <w:vAlign w:val="bottom"/>
          </w:tcPr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420,4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1319,5</w:t>
            </w:r>
          </w:p>
        </w:tc>
        <w:tc>
          <w:tcPr>
            <w:tcW w:w="1641" w:type="dxa"/>
            <w:vAlign w:val="bottom"/>
          </w:tcPr>
          <w:p w:rsidR="00597BDF" w:rsidRPr="00597BDF" w:rsidRDefault="00B155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1713,2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1713,2</w:t>
            </w:r>
          </w:p>
        </w:tc>
        <w:tc>
          <w:tcPr>
            <w:tcW w:w="1417" w:type="dxa"/>
            <w:vAlign w:val="bottom"/>
          </w:tcPr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1818,3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</w:t>
            </w:r>
          </w:p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поступления 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928782,6</w:t>
            </w:r>
          </w:p>
        </w:tc>
        <w:tc>
          <w:tcPr>
            <w:tcW w:w="1641" w:type="dxa"/>
            <w:vAlign w:val="bottom"/>
          </w:tcPr>
          <w:p w:rsidR="00597BDF" w:rsidRPr="00597BDF" w:rsidRDefault="00727D6A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1198006,0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1179853,9</w:t>
            </w:r>
          </w:p>
        </w:tc>
        <w:tc>
          <w:tcPr>
            <w:tcW w:w="1417" w:type="dxa"/>
            <w:vAlign w:val="bottom"/>
          </w:tcPr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1139505,6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96,5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425255,9</w:t>
            </w:r>
          </w:p>
        </w:tc>
        <w:tc>
          <w:tcPr>
            <w:tcW w:w="1641" w:type="dxa"/>
            <w:vAlign w:val="bottom"/>
          </w:tcPr>
          <w:p w:rsidR="00597BDF" w:rsidRPr="00597BDF" w:rsidRDefault="00727D6A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464630,1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464630,1</w:t>
            </w:r>
          </w:p>
        </w:tc>
        <w:tc>
          <w:tcPr>
            <w:tcW w:w="1417" w:type="dxa"/>
            <w:vAlign w:val="bottom"/>
          </w:tcPr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464630,1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6" w:type="dxa"/>
          </w:tcPr>
          <w:p w:rsidR="00597BDF" w:rsidRPr="00597BDF" w:rsidRDefault="00597BDF" w:rsidP="00597BDF">
            <w:pPr>
              <w:jc w:val="right"/>
              <w:rPr>
                <w:rFonts w:ascii="Times New Roman" w:hAnsi="Times New Roman" w:cs="Times New Roman"/>
              </w:rPr>
            </w:pPr>
          </w:p>
          <w:p w:rsidR="00597BDF" w:rsidRPr="00597BDF" w:rsidRDefault="00597BDF" w:rsidP="00597BDF">
            <w:pPr>
              <w:jc w:val="right"/>
              <w:rPr>
                <w:rFonts w:ascii="Times New Roman" w:hAnsi="Times New Roman" w:cs="Times New Roman"/>
              </w:rPr>
            </w:pPr>
          </w:p>
          <w:p w:rsidR="00597BDF" w:rsidRPr="00597BDF" w:rsidRDefault="00112F03" w:rsidP="00597B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36699,8</w:t>
            </w:r>
          </w:p>
        </w:tc>
        <w:tc>
          <w:tcPr>
            <w:tcW w:w="1641" w:type="dxa"/>
          </w:tcPr>
          <w:p w:rsidR="00597BDF" w:rsidRPr="00597BDF" w:rsidRDefault="00597BDF" w:rsidP="00597BDF">
            <w:pPr>
              <w:jc w:val="right"/>
              <w:rPr>
                <w:rFonts w:ascii="Times New Roman" w:hAnsi="Times New Roman" w:cs="Times New Roman"/>
              </w:rPr>
            </w:pPr>
          </w:p>
          <w:p w:rsidR="00597BDF" w:rsidRPr="00597BDF" w:rsidRDefault="00597BDF" w:rsidP="00597BDF">
            <w:pPr>
              <w:jc w:val="right"/>
              <w:rPr>
                <w:rFonts w:ascii="Times New Roman" w:hAnsi="Times New Roman" w:cs="Times New Roman"/>
              </w:rPr>
            </w:pPr>
          </w:p>
          <w:p w:rsidR="00597BDF" w:rsidRPr="00597BDF" w:rsidRDefault="00727D6A" w:rsidP="00597B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183616,0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jc w:val="right"/>
              <w:rPr>
                <w:rFonts w:ascii="Times New Roman" w:hAnsi="Times New Roman" w:cs="Times New Roman"/>
              </w:rPr>
            </w:pPr>
          </w:p>
          <w:p w:rsidR="00597BDF" w:rsidRPr="00597BDF" w:rsidRDefault="00597BDF" w:rsidP="00597BDF">
            <w:pPr>
              <w:jc w:val="right"/>
              <w:rPr>
                <w:rFonts w:ascii="Times New Roman" w:hAnsi="Times New Roman" w:cs="Times New Roman"/>
              </w:rPr>
            </w:pPr>
          </w:p>
          <w:p w:rsidR="00597BDF" w:rsidRPr="00597BDF" w:rsidRDefault="00BD7A19" w:rsidP="00597B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167696,2</w:t>
            </w:r>
          </w:p>
        </w:tc>
        <w:tc>
          <w:tcPr>
            <w:tcW w:w="1417" w:type="dxa"/>
          </w:tcPr>
          <w:p w:rsidR="00597BDF" w:rsidRPr="00597BDF" w:rsidRDefault="00597BDF" w:rsidP="00597BDF">
            <w:pPr>
              <w:jc w:val="right"/>
              <w:rPr>
                <w:rFonts w:ascii="Times New Roman" w:hAnsi="Times New Roman" w:cs="Times New Roman"/>
              </w:rPr>
            </w:pPr>
          </w:p>
          <w:p w:rsidR="00597BDF" w:rsidRPr="00597BDF" w:rsidRDefault="00597BDF" w:rsidP="00597BDF">
            <w:pPr>
              <w:jc w:val="right"/>
              <w:rPr>
                <w:rFonts w:ascii="Times New Roman" w:hAnsi="Times New Roman" w:cs="Times New Roman"/>
              </w:rPr>
            </w:pPr>
          </w:p>
          <w:p w:rsidR="00597BDF" w:rsidRPr="00597BDF" w:rsidRDefault="00BD7A19" w:rsidP="00597B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147766,5</w:t>
            </w:r>
          </w:p>
        </w:tc>
        <w:tc>
          <w:tcPr>
            <w:tcW w:w="1228" w:type="dxa"/>
          </w:tcPr>
          <w:p w:rsidR="00597BDF" w:rsidRDefault="00597BDF" w:rsidP="00597BDF">
            <w:pPr>
              <w:jc w:val="right"/>
              <w:rPr>
                <w:rFonts w:ascii="Times New Roman" w:hAnsi="Times New Roman" w:cs="Times New Roman"/>
              </w:rPr>
            </w:pPr>
          </w:p>
          <w:p w:rsidR="00026030" w:rsidRDefault="00026030" w:rsidP="00597BDF">
            <w:pPr>
              <w:jc w:val="right"/>
              <w:rPr>
                <w:rFonts w:ascii="Times New Roman" w:hAnsi="Times New Roman" w:cs="Times New Roman"/>
              </w:rPr>
            </w:pPr>
          </w:p>
          <w:p w:rsidR="00026030" w:rsidRPr="00597BDF" w:rsidRDefault="00026030" w:rsidP="00597B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</w:tr>
      <w:tr w:rsidR="00597BDF" w:rsidRPr="00597BDF" w:rsidTr="000C17DE">
        <w:trPr>
          <w:trHeight w:val="1254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386786,8</w:t>
            </w:r>
          </w:p>
        </w:tc>
        <w:tc>
          <w:tcPr>
            <w:tcW w:w="1641" w:type="dxa"/>
            <w:vAlign w:val="bottom"/>
          </w:tcPr>
          <w:p w:rsidR="00597BDF" w:rsidRPr="00597BDF" w:rsidRDefault="00727D6A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411571,4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411571,4</w:t>
            </w:r>
          </w:p>
        </w:tc>
        <w:tc>
          <w:tcPr>
            <w:tcW w:w="1417" w:type="dxa"/>
            <w:vAlign w:val="bottom"/>
          </w:tcPr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395942,1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597BDF" w:rsidRPr="00597BDF" w:rsidTr="004627CC">
        <w:trPr>
          <w:trHeight w:val="700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80040,1</w:t>
            </w:r>
          </w:p>
        </w:tc>
        <w:tc>
          <w:tcPr>
            <w:tcW w:w="1641" w:type="dxa"/>
            <w:vAlign w:val="bottom"/>
          </w:tcPr>
          <w:p w:rsidR="00597BDF" w:rsidRPr="00597BDF" w:rsidRDefault="00727D6A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134387,6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132155,3</w:t>
            </w:r>
          </w:p>
        </w:tc>
        <w:tc>
          <w:tcPr>
            <w:tcW w:w="1417" w:type="dxa"/>
            <w:vAlign w:val="bottom"/>
          </w:tcPr>
          <w:p w:rsidR="00597BDF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131247,5</w:t>
            </w:r>
          </w:p>
        </w:tc>
        <w:tc>
          <w:tcPr>
            <w:tcW w:w="1228" w:type="dxa"/>
            <w:vAlign w:val="bottom"/>
          </w:tcPr>
          <w:p w:rsidR="00597BDF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BD7A19" w:rsidRPr="00597BDF" w:rsidTr="000C17DE">
        <w:trPr>
          <w:trHeight w:val="1270"/>
        </w:trPr>
        <w:tc>
          <w:tcPr>
            <w:tcW w:w="2730" w:type="dxa"/>
          </w:tcPr>
          <w:p w:rsidR="00BD7A19" w:rsidRPr="00597BDF" w:rsidRDefault="00BD7A19" w:rsidP="00BD7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46" w:type="dxa"/>
            <w:vAlign w:val="bottom"/>
          </w:tcPr>
          <w:p w:rsidR="00BD7A19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vAlign w:val="bottom"/>
          </w:tcPr>
          <w:p w:rsidR="00BD7A19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D7A19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548" w:rsidRDefault="00501548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548" w:rsidRDefault="00501548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548" w:rsidRDefault="00501548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A19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3917,0</w:t>
            </w:r>
          </w:p>
        </w:tc>
        <w:tc>
          <w:tcPr>
            <w:tcW w:w="1417" w:type="dxa"/>
            <w:vAlign w:val="bottom"/>
          </w:tcPr>
          <w:p w:rsidR="00BD7A19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vAlign w:val="bottom"/>
          </w:tcPr>
          <w:p w:rsidR="00BD7A19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D7A19" w:rsidRPr="00597BDF" w:rsidTr="000C17DE">
        <w:trPr>
          <w:trHeight w:val="1270"/>
        </w:trPr>
        <w:tc>
          <w:tcPr>
            <w:tcW w:w="2730" w:type="dxa"/>
          </w:tcPr>
          <w:p w:rsidR="00BD7A19" w:rsidRPr="00597BDF" w:rsidRDefault="00BD7A19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46" w:type="dxa"/>
            <w:vAlign w:val="bottom"/>
          </w:tcPr>
          <w:p w:rsidR="00BD7A19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vAlign w:val="bottom"/>
          </w:tcPr>
          <w:p w:rsidR="00BD7A19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A19" w:rsidRPr="00597BDF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370,2</w:t>
            </w:r>
          </w:p>
        </w:tc>
        <w:tc>
          <w:tcPr>
            <w:tcW w:w="1417" w:type="dxa"/>
            <w:vAlign w:val="bottom"/>
          </w:tcPr>
          <w:p w:rsidR="00BD7A19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405,7</w:t>
            </w:r>
          </w:p>
        </w:tc>
        <w:tc>
          <w:tcPr>
            <w:tcW w:w="1228" w:type="dxa"/>
            <w:vAlign w:val="bottom"/>
          </w:tcPr>
          <w:p w:rsidR="00BD7A19" w:rsidRPr="00597BDF" w:rsidRDefault="0002603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109,6</w:t>
            </w:r>
          </w:p>
        </w:tc>
      </w:tr>
      <w:tr w:rsidR="00BD7A19" w:rsidRPr="00597BDF" w:rsidTr="000C17DE">
        <w:trPr>
          <w:trHeight w:val="1270"/>
        </w:trPr>
        <w:tc>
          <w:tcPr>
            <w:tcW w:w="2730" w:type="dxa"/>
          </w:tcPr>
          <w:p w:rsidR="00BD7A19" w:rsidRPr="00597BDF" w:rsidRDefault="000571F5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46" w:type="dxa"/>
            <w:vAlign w:val="bottom"/>
          </w:tcPr>
          <w:p w:rsidR="00BD7A19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vAlign w:val="bottom"/>
          </w:tcPr>
          <w:p w:rsidR="00BD7A19" w:rsidRDefault="00BD7A1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71F5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A19" w:rsidRPr="00597BDF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417" w:type="dxa"/>
            <w:vAlign w:val="bottom"/>
          </w:tcPr>
          <w:p w:rsidR="00BD7A19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228" w:type="dxa"/>
            <w:vAlign w:val="bottom"/>
          </w:tcPr>
          <w:p w:rsidR="00BD7A19" w:rsidRPr="00597BDF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7BDF" w:rsidRPr="00597BDF" w:rsidTr="000C17DE">
        <w:trPr>
          <w:trHeight w:val="505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/>
                <w:lang w:eastAsia="ru-RU"/>
              </w:rPr>
              <w:t>Возврат остатков субсидий, субвенций и ИМБТ</w:t>
            </w:r>
          </w:p>
        </w:tc>
        <w:tc>
          <w:tcPr>
            <w:tcW w:w="1546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1" w:type="dxa"/>
            <w:vAlign w:val="bottom"/>
          </w:tcPr>
          <w:p w:rsidR="00597BDF" w:rsidRPr="00597BDF" w:rsidRDefault="00597BDF" w:rsidP="00727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727D6A">
              <w:rPr>
                <w:rFonts w:ascii="Times New Roman" w:eastAsia="Times New Roman" w:hAnsi="Times New Roman" w:cs="Times New Roman"/>
                <w:b/>
                <w:lang w:eastAsia="ru-RU"/>
              </w:rPr>
              <w:t>489,1</w:t>
            </w:r>
          </w:p>
        </w:tc>
        <w:tc>
          <w:tcPr>
            <w:tcW w:w="1418" w:type="dxa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7BDF" w:rsidRPr="00597BDF" w:rsidRDefault="00597BDF" w:rsidP="00BD7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BD7A19">
              <w:rPr>
                <w:rFonts w:ascii="Times New Roman" w:eastAsia="Times New Roman" w:hAnsi="Times New Roman" w:cs="Times New Roman"/>
                <w:b/>
                <w:lang w:eastAsia="ru-RU"/>
              </w:rPr>
              <w:t>489,1</w:t>
            </w:r>
          </w:p>
        </w:tc>
        <w:tc>
          <w:tcPr>
            <w:tcW w:w="1417" w:type="dxa"/>
            <w:vAlign w:val="bottom"/>
          </w:tcPr>
          <w:p w:rsidR="00597BDF" w:rsidRPr="00597BDF" w:rsidRDefault="00597BDF" w:rsidP="0005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0571F5">
              <w:rPr>
                <w:rFonts w:ascii="Times New Roman" w:eastAsia="Times New Roman" w:hAnsi="Times New Roman" w:cs="Times New Roman"/>
                <w:b/>
                <w:lang w:eastAsia="ru-RU"/>
              </w:rPr>
              <w:t>489,1</w:t>
            </w:r>
          </w:p>
        </w:tc>
        <w:tc>
          <w:tcPr>
            <w:tcW w:w="1228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597BDF" w:rsidRPr="00597BDF" w:rsidTr="000C17DE">
        <w:trPr>
          <w:trHeight w:val="244"/>
        </w:trPr>
        <w:tc>
          <w:tcPr>
            <w:tcW w:w="2730" w:type="dxa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46" w:type="dxa"/>
            <w:vAlign w:val="bottom"/>
          </w:tcPr>
          <w:p w:rsidR="00597BDF" w:rsidRPr="00597BDF" w:rsidRDefault="00112F0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1042844,2</w:t>
            </w:r>
          </w:p>
        </w:tc>
        <w:tc>
          <w:tcPr>
            <w:tcW w:w="1641" w:type="dxa"/>
            <w:vAlign w:val="bottom"/>
          </w:tcPr>
          <w:p w:rsidR="00597BDF" w:rsidRPr="00597BDF" w:rsidRDefault="00727D6A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1334835,4</w:t>
            </w:r>
          </w:p>
        </w:tc>
        <w:tc>
          <w:tcPr>
            <w:tcW w:w="1418" w:type="dxa"/>
          </w:tcPr>
          <w:p w:rsidR="00597BDF" w:rsidRPr="00597BDF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1316683,3</w:t>
            </w:r>
          </w:p>
        </w:tc>
        <w:tc>
          <w:tcPr>
            <w:tcW w:w="1417" w:type="dxa"/>
            <w:vAlign w:val="bottom"/>
          </w:tcPr>
          <w:p w:rsidR="00597BDF" w:rsidRPr="00597BDF" w:rsidRDefault="000571F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1278815,6</w:t>
            </w:r>
          </w:p>
        </w:tc>
        <w:tc>
          <w:tcPr>
            <w:tcW w:w="1228" w:type="dxa"/>
            <w:vAlign w:val="bottom"/>
          </w:tcPr>
          <w:p w:rsidR="00597BDF" w:rsidRPr="00597BDF" w:rsidRDefault="00501548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97,1</w:t>
            </w:r>
          </w:p>
        </w:tc>
      </w:tr>
    </w:tbl>
    <w:p w:rsidR="002F0086" w:rsidRDefault="002F0086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7BDF" w:rsidRPr="00221041" w:rsidRDefault="002F0086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Уточненные бюджетные назначения по доходам в отчете за 2021</w:t>
      </w:r>
      <w:r w:rsidR="00026030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меньше утвержденных бюджетных назначений согласно Решению сессии от 21.12.2021г № 12-108р на сумму 18152,1 тыс. рублей. Отклонение связано с изменениями межбюджетных трансфертов согласно уведомлений Министерства культуры и Министерства образования.  </w:t>
      </w:r>
    </w:p>
    <w:p w:rsidR="00597BDF" w:rsidRPr="00221041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структуре поступлений доля налоговых и неналоговых поступлений составила </w:t>
      </w:r>
      <w:r w:rsidR="00BD64E0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10,9 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%( в 20</w:t>
      </w:r>
      <w:r w:rsidR="00BD64E0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-</w:t>
      </w:r>
      <w:r w:rsidR="00BD64E0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9,8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доля безвозмездных поступлений составила </w:t>
      </w:r>
      <w:r w:rsidR="00BD64E0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89,1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%( в 20</w:t>
      </w:r>
      <w:r w:rsidR="00BD64E0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-</w:t>
      </w:r>
      <w:r w:rsidR="00BD64E0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90,2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597BDF" w:rsidRPr="00221041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источником доходов в структуре налоговых поступлений, как и предыдущие годы является налог на доходы физических лиц, который составляет </w:t>
      </w:r>
      <w:r w:rsidR="001A5E2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64,7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97BDF" w:rsidRPr="00221041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</w:t>
      </w:r>
      <w:r w:rsidR="001A5E2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фактическое поступление налоговых доходов в районный бюджет увеличилось на </w:t>
      </w:r>
      <w:r w:rsidR="001A5E2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20601,0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97BDF" w:rsidRPr="00597BDF" w:rsidRDefault="00597BDF" w:rsidP="00597BD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D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18553BD2" wp14:editId="18E49885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7BDF" w:rsidRPr="00597BDF" w:rsidRDefault="00597BDF" w:rsidP="00597BD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7BDF" w:rsidRPr="00221041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структуре налоговых поступлений районного бюджета по сравнению с предыдущим периодом существенно увеличилась доля налога на прибыль (</w:t>
      </w:r>
      <w:r w:rsidR="00AD1578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12,65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597BDF" w:rsidRPr="00221041" w:rsidRDefault="004B472C" w:rsidP="00597BD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Перевыполнение бюджетных </w:t>
      </w:r>
      <w:r w:rsidR="00597BDF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назначений  по налоговым доходам районного бюджета составило  </w:t>
      </w:r>
      <w:r w:rsidR="00AD1578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1690,1</w:t>
      </w:r>
      <w:r w:rsidR="00597BDF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что составляет  </w:t>
      </w:r>
      <w:r w:rsidR="00AD1578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1,5 </w:t>
      </w:r>
      <w:r w:rsidR="00597BDF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уточненных плановых назначений.</w:t>
      </w:r>
    </w:p>
    <w:p w:rsidR="00597BDF" w:rsidRPr="00221041" w:rsidRDefault="004B472C" w:rsidP="00597BD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назначений по </w:t>
      </w:r>
      <w:r w:rsidR="00597BDF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налоговым доходам по итогам 202</w:t>
      </w:r>
      <w:r w:rsidR="00AD1578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97BDF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сложилось следующим образом:</w:t>
      </w:r>
    </w:p>
    <w:p w:rsidR="00597BDF" w:rsidRPr="00221041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Бюджетные назначения по налогу на прибыль организаций исполнены в размере </w:t>
      </w:r>
      <w:r w:rsidR="00AD1578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14857,3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9A6B9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127,8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что выше показателя предыдущего года на </w:t>
      </w:r>
      <w:r w:rsidR="00AD1578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3235,6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97BDF" w:rsidRPr="00221041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причиной дополнительного поступления налога является увеличение объемов добычи угля ООО «Сибуголь» разрез «Балахтинский»</w:t>
      </w:r>
      <w:r w:rsidR="009A6B9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поступление налога на прибыль от АО «Санаторий Красноярское Загорье».</w:t>
      </w:r>
    </w:p>
    <w:p w:rsidR="00597BDF" w:rsidRPr="00221041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назначения по налогу на доходы физических лиц исполнены в 202</w:t>
      </w:r>
      <w:r w:rsidR="004B472C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размере </w:t>
      </w:r>
      <w:r w:rsidR="004B472C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75948,1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4B472C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 предыдущего года на </w:t>
      </w:r>
      <w:r w:rsidR="004B472C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3098,6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97BDF" w:rsidRPr="00221041" w:rsidRDefault="004B472C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Недовыполнение </w:t>
      </w:r>
      <w:r w:rsidR="00597BDF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202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97BDF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составило 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3098,6</w:t>
      </w:r>
      <w:r w:rsidR="00597BDF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0B0D3E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 невыполнения плановых назначений по налогу на доходы физических лиц не нашли отражения в текстовой части пояснительной записки.</w:t>
      </w:r>
    </w:p>
    <w:p w:rsidR="00597BDF" w:rsidRPr="00221041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Бюджетные назначения по налогам на совокупный доход исполнены в размере </w:t>
      </w:r>
      <w:r w:rsidR="000B0D3E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24187,1 тыс. рублей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выше показателя предыдущего года на </w:t>
      </w:r>
      <w:r w:rsidR="000B0D3E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10177,0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97BDF" w:rsidRPr="00221041" w:rsidRDefault="000B0D3E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Перевыполнение</w:t>
      </w:r>
      <w:r w:rsidR="00597BDF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4D9D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показателей</w:t>
      </w:r>
      <w:r w:rsidR="00597BDF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97BDF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составило 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1507,0</w:t>
      </w:r>
      <w:r w:rsidR="00597BDF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(106,6%)</w:t>
      </w:r>
      <w:r w:rsidR="00597BDF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7BDF" w:rsidRPr="00221041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назначений по неналоговым доходам составило </w:t>
      </w:r>
      <w:r w:rsidR="000B0D3E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20718,5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4C3FF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выше показателя исполнения предыдущего года на 1545,3 тыс. рублей.</w:t>
      </w:r>
    </w:p>
    <w:p w:rsidR="00597BDF" w:rsidRPr="00221041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Поступление доходов в виде аренд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платы за земельные участки 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государственной и муниципальной собственности в 202</w:t>
      </w:r>
      <w:r w:rsidR="004C3FF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составило </w:t>
      </w:r>
      <w:r w:rsidR="004C3FF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14698,0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4C3FF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утвержденных бюджетных назначений на </w:t>
      </w:r>
      <w:r w:rsidR="004C3FF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319,6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выше показателя предыдущего года </w:t>
      </w:r>
      <w:r w:rsidR="004C3FF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1415,9 тыс. рублей.</w:t>
      </w:r>
    </w:p>
    <w:p w:rsidR="00AC159D" w:rsidRPr="00221041" w:rsidRDefault="00597BDF" w:rsidP="00AC15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hAnsi="Times New Roman" w:cs="Times New Roman"/>
          <w:sz w:val="26"/>
          <w:szCs w:val="26"/>
        </w:rPr>
        <w:t xml:space="preserve">  По данным главного администратора доходов дебиторская задолженность по состоянию на 01.01.202</w:t>
      </w:r>
      <w:r w:rsidR="004C3FF1" w:rsidRPr="00221041">
        <w:rPr>
          <w:rFonts w:ascii="Times New Roman" w:hAnsi="Times New Roman" w:cs="Times New Roman"/>
          <w:sz w:val="26"/>
          <w:szCs w:val="26"/>
        </w:rPr>
        <w:t>2</w:t>
      </w:r>
      <w:r w:rsidR="00654D9D" w:rsidRPr="00221041">
        <w:rPr>
          <w:rFonts w:ascii="Times New Roman" w:hAnsi="Times New Roman" w:cs="Times New Roman"/>
          <w:sz w:val="26"/>
          <w:szCs w:val="26"/>
        </w:rPr>
        <w:t xml:space="preserve"> </w:t>
      </w:r>
      <w:r w:rsidRPr="00221041">
        <w:rPr>
          <w:rFonts w:ascii="Times New Roman" w:hAnsi="Times New Roman" w:cs="Times New Roman"/>
          <w:sz w:val="26"/>
          <w:szCs w:val="26"/>
        </w:rPr>
        <w:t xml:space="preserve">года </w:t>
      </w:r>
      <w:r w:rsidR="00AC159D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10334850,36 рублей, в том числе по </w:t>
      </w:r>
      <w:r w:rsidR="00AC159D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арендному землепользованию- 8167970,0 рублей, что составляет 54,7% к начисленной сумме арендной платы. По состоянию на 01.01.21г. задолженность составляла 7204295,96 рублей, отмечается рост задолженности на 963674,44 рублей.</w:t>
      </w:r>
    </w:p>
    <w:p w:rsidR="00597BDF" w:rsidRPr="00221041" w:rsidRDefault="00654D9D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041">
        <w:rPr>
          <w:rFonts w:ascii="Times New Roman" w:hAnsi="Times New Roman" w:cs="Times New Roman"/>
          <w:sz w:val="26"/>
          <w:szCs w:val="26"/>
        </w:rPr>
        <w:t xml:space="preserve">  </w:t>
      </w:r>
      <w:r w:rsidR="00597BDF" w:rsidRPr="00221041">
        <w:rPr>
          <w:rFonts w:ascii="Times New Roman" w:hAnsi="Times New Roman" w:cs="Times New Roman"/>
          <w:sz w:val="26"/>
          <w:szCs w:val="26"/>
        </w:rPr>
        <w:t xml:space="preserve">Поступление доходов от сдачи имущества в аренду составило </w:t>
      </w:r>
      <w:r w:rsidRPr="00221041">
        <w:rPr>
          <w:rFonts w:ascii="Times New Roman" w:hAnsi="Times New Roman" w:cs="Times New Roman"/>
          <w:sz w:val="26"/>
          <w:szCs w:val="26"/>
        </w:rPr>
        <w:t>2195,4</w:t>
      </w:r>
      <w:r w:rsidR="00597BDF" w:rsidRPr="00221041">
        <w:rPr>
          <w:rFonts w:ascii="Times New Roman" w:hAnsi="Times New Roman" w:cs="Times New Roman"/>
          <w:sz w:val="26"/>
          <w:szCs w:val="26"/>
        </w:rPr>
        <w:t xml:space="preserve"> тыс. рублей, что выше плановых назначений на </w:t>
      </w:r>
      <w:r w:rsidRPr="00221041">
        <w:rPr>
          <w:rFonts w:ascii="Times New Roman" w:hAnsi="Times New Roman" w:cs="Times New Roman"/>
          <w:sz w:val="26"/>
          <w:szCs w:val="26"/>
        </w:rPr>
        <w:t>345,4</w:t>
      </w:r>
      <w:r w:rsidR="00597BDF" w:rsidRPr="00221041">
        <w:rPr>
          <w:rFonts w:ascii="Times New Roman" w:hAnsi="Times New Roman" w:cs="Times New Roman"/>
          <w:sz w:val="26"/>
          <w:szCs w:val="26"/>
        </w:rPr>
        <w:t xml:space="preserve"> </w:t>
      </w:r>
      <w:r w:rsidR="00C22B68">
        <w:rPr>
          <w:rFonts w:ascii="Times New Roman" w:hAnsi="Times New Roman" w:cs="Times New Roman"/>
          <w:sz w:val="26"/>
          <w:szCs w:val="26"/>
        </w:rPr>
        <w:t xml:space="preserve">тыс. рублей и выше показателей </w:t>
      </w:r>
      <w:r w:rsidR="00597BDF" w:rsidRPr="00221041">
        <w:rPr>
          <w:rFonts w:ascii="Times New Roman" w:hAnsi="Times New Roman" w:cs="Times New Roman"/>
          <w:sz w:val="26"/>
          <w:szCs w:val="26"/>
        </w:rPr>
        <w:t xml:space="preserve">предыдущего года на </w:t>
      </w:r>
      <w:r w:rsidRPr="00221041">
        <w:rPr>
          <w:rFonts w:ascii="Times New Roman" w:hAnsi="Times New Roman" w:cs="Times New Roman"/>
          <w:sz w:val="26"/>
          <w:szCs w:val="26"/>
        </w:rPr>
        <w:t>292,2</w:t>
      </w:r>
      <w:r w:rsidR="00597BDF" w:rsidRPr="0022104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597BDF" w:rsidRPr="00221041" w:rsidRDefault="00597BDF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041">
        <w:rPr>
          <w:rFonts w:ascii="Times New Roman" w:hAnsi="Times New Roman" w:cs="Times New Roman"/>
          <w:sz w:val="26"/>
          <w:szCs w:val="26"/>
        </w:rPr>
        <w:t xml:space="preserve">Поступление прочих поступлений от использования имущества составило </w:t>
      </w:r>
      <w:r w:rsidR="00654D9D" w:rsidRPr="00221041">
        <w:rPr>
          <w:rFonts w:ascii="Times New Roman" w:hAnsi="Times New Roman" w:cs="Times New Roman"/>
          <w:sz w:val="26"/>
          <w:szCs w:val="26"/>
        </w:rPr>
        <w:t>493,8</w:t>
      </w:r>
      <w:r w:rsidRPr="00221041">
        <w:rPr>
          <w:rFonts w:ascii="Times New Roman" w:hAnsi="Times New Roman" w:cs="Times New Roman"/>
          <w:sz w:val="26"/>
          <w:szCs w:val="26"/>
        </w:rPr>
        <w:t xml:space="preserve"> тыс. рублей, что выше плановых назначений </w:t>
      </w:r>
      <w:r w:rsidR="00654D9D" w:rsidRPr="00221041">
        <w:rPr>
          <w:rFonts w:ascii="Times New Roman" w:hAnsi="Times New Roman" w:cs="Times New Roman"/>
          <w:sz w:val="26"/>
          <w:szCs w:val="26"/>
        </w:rPr>
        <w:t>33,3</w:t>
      </w:r>
      <w:r w:rsidRPr="00221041">
        <w:rPr>
          <w:rFonts w:ascii="Times New Roman" w:hAnsi="Times New Roman" w:cs="Times New Roman"/>
          <w:sz w:val="26"/>
          <w:szCs w:val="26"/>
        </w:rPr>
        <w:t xml:space="preserve"> тыс. рублей и ниже показателей предыдущего года на </w:t>
      </w:r>
      <w:r w:rsidR="00654D9D" w:rsidRPr="00221041">
        <w:rPr>
          <w:rFonts w:ascii="Times New Roman" w:hAnsi="Times New Roman" w:cs="Times New Roman"/>
          <w:sz w:val="26"/>
          <w:szCs w:val="26"/>
        </w:rPr>
        <w:t>398,5</w:t>
      </w:r>
      <w:r w:rsidRPr="0022104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597BDF" w:rsidRPr="00221041" w:rsidRDefault="00597BDF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041">
        <w:rPr>
          <w:rFonts w:ascii="Times New Roman" w:hAnsi="Times New Roman" w:cs="Times New Roman"/>
          <w:sz w:val="26"/>
          <w:szCs w:val="26"/>
        </w:rPr>
        <w:t xml:space="preserve">Поступление от продажи материальных и нематериальных активов составило </w:t>
      </w:r>
      <w:r w:rsidR="008568A1" w:rsidRPr="00221041">
        <w:rPr>
          <w:rFonts w:ascii="Times New Roman" w:hAnsi="Times New Roman" w:cs="Times New Roman"/>
          <w:sz w:val="26"/>
          <w:szCs w:val="26"/>
        </w:rPr>
        <w:t>1818,3</w:t>
      </w:r>
      <w:r w:rsidRPr="00221041">
        <w:rPr>
          <w:rFonts w:ascii="Times New Roman" w:hAnsi="Times New Roman" w:cs="Times New Roman"/>
          <w:sz w:val="26"/>
          <w:szCs w:val="26"/>
        </w:rPr>
        <w:t xml:space="preserve"> тыс. рублей, что </w:t>
      </w:r>
      <w:r w:rsidR="008568A1" w:rsidRPr="00221041">
        <w:rPr>
          <w:rFonts w:ascii="Times New Roman" w:hAnsi="Times New Roman" w:cs="Times New Roman"/>
          <w:sz w:val="26"/>
          <w:szCs w:val="26"/>
        </w:rPr>
        <w:t>выше</w:t>
      </w:r>
      <w:r w:rsidRPr="00221041">
        <w:rPr>
          <w:rFonts w:ascii="Times New Roman" w:hAnsi="Times New Roman" w:cs="Times New Roman"/>
          <w:sz w:val="26"/>
          <w:szCs w:val="26"/>
        </w:rPr>
        <w:t xml:space="preserve"> плановых назначений на </w:t>
      </w:r>
      <w:r w:rsidR="008568A1" w:rsidRPr="00221041">
        <w:rPr>
          <w:rFonts w:ascii="Times New Roman" w:hAnsi="Times New Roman" w:cs="Times New Roman"/>
          <w:sz w:val="26"/>
          <w:szCs w:val="26"/>
        </w:rPr>
        <w:t>105,1</w:t>
      </w:r>
      <w:r w:rsidRPr="00221041">
        <w:rPr>
          <w:rFonts w:ascii="Times New Roman" w:hAnsi="Times New Roman" w:cs="Times New Roman"/>
          <w:sz w:val="26"/>
          <w:szCs w:val="26"/>
        </w:rPr>
        <w:t xml:space="preserve"> тыс. рублей и выше показателей предыдущего года на </w:t>
      </w:r>
      <w:r w:rsidR="008568A1" w:rsidRPr="00221041">
        <w:rPr>
          <w:rFonts w:ascii="Times New Roman" w:hAnsi="Times New Roman" w:cs="Times New Roman"/>
          <w:sz w:val="26"/>
          <w:szCs w:val="26"/>
        </w:rPr>
        <w:t>937,0</w:t>
      </w:r>
      <w:r w:rsidRPr="0022104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597BDF" w:rsidRPr="00221041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8568A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подгруппе доходов «Доходы от оказания платных услуг и компенсации затрат государства» поступило </w:t>
      </w:r>
      <w:r w:rsidR="008568A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420,4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8568A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ниже 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утвержденных бюджетных назначений на </w:t>
      </w:r>
      <w:r w:rsidR="008568A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590,0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597BDF" w:rsidRPr="00221041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8568A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платежей при пользовании природными ресурсами поступило </w:t>
      </w:r>
      <w:r w:rsidR="008568A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1070,4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ниже утвержденных бюджетных назначений на </w:t>
      </w:r>
      <w:r w:rsidR="008568A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6,5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8568A1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выше показателя исполнения за 2020 год на сумму 568,4 тыс. рублей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7BDF" w:rsidRPr="00221041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подгруппе доходов «Штрафы, санкции, возмещение ущерба» поступило </w:t>
      </w:r>
      <w:r w:rsidR="00B96658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1158,9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ниже утвержденных бюджетных назначений на </w:t>
      </w:r>
      <w:r w:rsidR="00B96658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31,1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96658"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выше показателя исполнения 2020 года на 201,0 тыс. рублей.</w:t>
      </w:r>
    </w:p>
    <w:p w:rsidR="00597BDF" w:rsidRPr="00221041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безвозмездных поступлений в районный бюджет в 202</w:t>
      </w:r>
      <w:r w:rsid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 </w:t>
      </w:r>
      <w:r w:rsid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1139505,6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на </w:t>
      </w:r>
      <w:r w:rsid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40348,3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меньше утвержденных бюджетных назначений и выше показателей предыдущего года на </w:t>
      </w:r>
      <w:r w:rsid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>81113,0</w:t>
      </w:r>
      <w:r w:rsidRPr="002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97BDF" w:rsidRPr="00597BDF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DF" w:rsidRPr="00597BDF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BBE6C2" wp14:editId="07905C0C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7BDF" w:rsidRPr="00B019A7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структуре безвозмездных поступлений отчетного периода основную долю составляют дотации </w:t>
      </w:r>
      <w:r w:rsidR="00221041"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>464630,1</w:t>
      </w:r>
      <w:r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221041"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>40,</w:t>
      </w:r>
      <w:r w:rsidR="00B019A7"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субсидии составляют </w:t>
      </w:r>
      <w:r w:rsidR="00221041"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>147766,5</w:t>
      </w:r>
      <w:r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221041"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>12,9</w:t>
      </w:r>
      <w:r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субвенции составляют </w:t>
      </w:r>
      <w:r w:rsidR="00221041"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>395942,1</w:t>
      </w:r>
      <w:r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221041"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>34,7</w:t>
      </w:r>
      <w:r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>%) иные межбюджетные трансферты-</w:t>
      </w:r>
      <w:r w:rsidR="00221041"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>131247,5</w:t>
      </w:r>
      <w:r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221041"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>11,5</w:t>
      </w:r>
      <w:r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597BDF" w:rsidRPr="00B019A7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Поступление дотаций в районный бюджет составило </w:t>
      </w:r>
      <w:r w:rsidR="00B019A7"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>464630,1</w:t>
      </w:r>
      <w:r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100,0% от плановых назначений и выше показателей предыдущего года </w:t>
      </w:r>
      <w:r w:rsidR="00B019A7"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>46793,3</w:t>
      </w:r>
      <w:r w:rsidRPr="00B0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97BDF" w:rsidRPr="006B400B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Поступление субсидии составило </w:t>
      </w:r>
      <w:r w:rsidR="006B400B" w:rsidRPr="006B400B">
        <w:rPr>
          <w:rFonts w:ascii="Times New Roman" w:eastAsia="Times New Roman" w:hAnsi="Times New Roman" w:cs="Times New Roman"/>
          <w:sz w:val="26"/>
          <w:szCs w:val="26"/>
          <w:lang w:eastAsia="ru-RU"/>
        </w:rPr>
        <w:t>147466,5</w:t>
      </w:r>
      <w:r w:rsidRPr="006B4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6B400B" w:rsidRPr="006B400B">
        <w:rPr>
          <w:rFonts w:ascii="Times New Roman" w:eastAsia="Times New Roman" w:hAnsi="Times New Roman" w:cs="Times New Roman"/>
          <w:sz w:val="26"/>
          <w:szCs w:val="26"/>
          <w:lang w:eastAsia="ru-RU"/>
        </w:rPr>
        <w:t>88,1</w:t>
      </w:r>
      <w:r w:rsidRPr="006B4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плановых назначений и ниже показателя предыдущего года на </w:t>
      </w:r>
      <w:r w:rsidR="006B400B" w:rsidRPr="006B400B">
        <w:rPr>
          <w:rFonts w:ascii="Times New Roman" w:eastAsia="Times New Roman" w:hAnsi="Times New Roman" w:cs="Times New Roman"/>
          <w:sz w:val="26"/>
          <w:szCs w:val="26"/>
          <w:lang w:eastAsia="ru-RU"/>
        </w:rPr>
        <w:t>67992,6</w:t>
      </w:r>
      <w:r w:rsidRPr="006B4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97BDF" w:rsidRPr="00F96286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28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Неисполнение бюджетных</w:t>
      </w:r>
      <w:r w:rsidR="00F83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назначений сложилось</w:t>
      </w:r>
      <w:r w:rsidRPr="00F9628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97BDF" w:rsidRPr="00F96286" w:rsidRDefault="00C22B68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субсидии </w:t>
      </w:r>
      <w:r w:rsidR="00F83C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создание</w:t>
      </w:r>
      <w:r w:rsidR="00F96286" w:rsidRPr="00F9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городов</w:t>
      </w:r>
      <w:r w:rsidR="00597BDF" w:rsidRPr="00F9628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96286" w:rsidRPr="00F96286">
        <w:rPr>
          <w:rFonts w:ascii="Times New Roman" w:eastAsia="Times New Roman" w:hAnsi="Times New Roman" w:cs="Times New Roman"/>
          <w:sz w:val="26"/>
          <w:szCs w:val="26"/>
          <w:lang w:eastAsia="ru-RU"/>
        </w:rPr>
        <w:t>5,1</w:t>
      </w:r>
      <w:r w:rsidR="00597BDF" w:rsidRPr="00F9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экономии по результатам конкурсных процедур;</w:t>
      </w:r>
    </w:p>
    <w:p w:rsidR="00597BDF" w:rsidRPr="00060324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субсидии на </w:t>
      </w:r>
      <w:r w:rsidR="00F96286" w:rsidRPr="000603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 бесплатного горячего питания обучающихся</w:t>
      </w:r>
      <w:r w:rsidR="0006032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96286" w:rsidRPr="00060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начальное общее образование государственных и муниципальных образовательных организациях</w:t>
      </w:r>
      <w:r w:rsidRPr="00060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-62</w:t>
      </w:r>
      <w:r w:rsidR="00F96286" w:rsidRPr="000603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6032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96286" w:rsidRPr="000603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60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060324" w:rsidRPr="000603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причине отсутствия потребности;</w:t>
      </w:r>
    </w:p>
    <w:p w:rsidR="00597BDF" w:rsidRPr="00F922D6" w:rsidRDefault="00C22B68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субсидии на </w:t>
      </w:r>
      <w:r w:rsidR="00F922D6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 туристско-рекреационных зон на территории Красноярского края в рамках подпрограммы «Развитие внутреннего и въездного туризма»</w:t>
      </w:r>
      <w:r w:rsid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2D6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программы Красноярского края «Развитие культуры и туризма» </w:t>
      </w:r>
      <w:r w:rsidR="00597BDF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922D6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>17000,0</w:t>
      </w:r>
      <w:r w:rsidR="00597BDF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</w:t>
      </w:r>
      <w:r w:rsidR="00F922D6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состоявшихся</w:t>
      </w:r>
      <w:r w:rsidR="00597BDF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конкурсных процедур;</w:t>
      </w:r>
    </w:p>
    <w:p w:rsidR="00597BDF" w:rsidRPr="00F922D6" w:rsidRDefault="00C22B68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субсидии на </w:t>
      </w:r>
      <w:r w:rsidR="00597BDF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реализацию мероприятий, направленных на </w:t>
      </w:r>
      <w:r w:rsidR="00F922D6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мероприятий по поддержке местных инициатив, в рамках подпрограммы «Поддержка местных</w:t>
      </w:r>
      <w:r w:rsidR="00597BDF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2D6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инициатив, государственнной программы Красноярского края «Содействие развитию местного самоуправления»</w:t>
      </w:r>
      <w:r w:rsidR="00597BDF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922D6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>217,2</w:t>
      </w:r>
      <w:r w:rsidR="00597BDF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экономии по результатам конкурсных процедур;</w:t>
      </w:r>
    </w:p>
    <w:p w:rsidR="00597BDF" w:rsidRPr="00F922D6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>-по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"Поддержка внедрения стандартов предоставления (оказания) муниципальных услуг и повышения качества жизни населения" государственной программы Красноярского края "Содействие развитию местного самоуправления"-</w:t>
      </w:r>
      <w:r w:rsidR="00F922D6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>2082,7</w:t>
      </w:r>
      <w:r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922D6"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экономии по результатам конкурсных процедур</w:t>
      </w:r>
      <w:r w:rsidRPr="00F922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7BDF" w:rsidRPr="00305113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Поступление субвенции составило </w:t>
      </w:r>
      <w:r w:rsidR="00305113" w:rsidRPr="00305113">
        <w:rPr>
          <w:rFonts w:ascii="Times New Roman" w:eastAsia="Times New Roman" w:hAnsi="Times New Roman" w:cs="Times New Roman"/>
          <w:sz w:val="26"/>
          <w:szCs w:val="26"/>
          <w:lang w:eastAsia="ru-RU"/>
        </w:rPr>
        <w:t>395942,1</w:t>
      </w:r>
      <w:r w:rsidRPr="00305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305113" w:rsidRPr="00305113">
        <w:rPr>
          <w:rFonts w:ascii="Times New Roman" w:eastAsia="Times New Roman" w:hAnsi="Times New Roman" w:cs="Times New Roman"/>
          <w:sz w:val="26"/>
          <w:szCs w:val="26"/>
          <w:lang w:eastAsia="ru-RU"/>
        </w:rPr>
        <w:t>96,2</w:t>
      </w:r>
      <w:r w:rsidRPr="00305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что ниже плановых назначений на </w:t>
      </w:r>
      <w:r w:rsidR="00305113" w:rsidRPr="00305113">
        <w:rPr>
          <w:rFonts w:ascii="Times New Roman" w:eastAsia="Times New Roman" w:hAnsi="Times New Roman" w:cs="Times New Roman"/>
          <w:sz w:val="26"/>
          <w:szCs w:val="26"/>
          <w:lang w:eastAsia="ru-RU"/>
        </w:rPr>
        <w:t>15629,3</w:t>
      </w:r>
      <w:r w:rsidRPr="00305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</w:t>
      </w:r>
      <w:r w:rsidR="00305113" w:rsidRPr="0030511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</w:t>
      </w:r>
      <w:r w:rsidRPr="00305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предыдущего года на </w:t>
      </w:r>
      <w:r w:rsidR="00305113" w:rsidRPr="00305113">
        <w:rPr>
          <w:rFonts w:ascii="Times New Roman" w:eastAsia="Times New Roman" w:hAnsi="Times New Roman" w:cs="Times New Roman"/>
          <w:sz w:val="26"/>
          <w:szCs w:val="26"/>
          <w:lang w:eastAsia="ru-RU"/>
        </w:rPr>
        <w:t>35992,7</w:t>
      </w:r>
      <w:r w:rsidRPr="00305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F74D4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4D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основном неисполнение плановы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>х бюджетных назначений сложилось</w:t>
      </w:r>
      <w:r w:rsidR="007F7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F74D4" w:rsidRDefault="007F74D4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97BDF" w:rsidRPr="007F7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субвенци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97BDF" w:rsidRPr="007F7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лиц, которые относились к категории детей- сирот и детей, оставшихся без попечения родителей, лиц из числа детей- сирот и детей, оставшихся без попечения родителей, и достигли возраста 23 лет -</w:t>
      </w:r>
      <w:r w:rsidRPr="007F74D4">
        <w:rPr>
          <w:rFonts w:ascii="Times New Roman" w:eastAsia="Times New Roman" w:hAnsi="Times New Roman" w:cs="Times New Roman"/>
          <w:sz w:val="26"/>
          <w:szCs w:val="26"/>
          <w:lang w:eastAsia="ru-RU"/>
        </w:rPr>
        <w:t>9798,6</w:t>
      </w:r>
      <w:r w:rsidR="00597BDF" w:rsidRPr="007F7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F74D4" w:rsidRDefault="007F74D4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субвенция на выполн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отдельных государственных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 по организации мероприятий при осуществлении деятельности по обращению с животными без владельцев-269,7 тыс. рублей;</w:t>
      </w:r>
    </w:p>
    <w:p w:rsidR="007F74D4" w:rsidRDefault="007F74D4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субвенция на реализацию отдельных мер по обеспечению ограничения платы граждан за коммунальные услуги-3945,9 тыс. рублей;</w:t>
      </w:r>
    </w:p>
    <w:p w:rsidR="007F74D4" w:rsidRDefault="007F74D4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-субвенция по организации и обеспечению отдыха и оздоровления детей -1011,6 тыс. рублей;</w:t>
      </w:r>
    </w:p>
    <w:p w:rsidR="00597BDF" w:rsidRPr="007F74D4" w:rsidRDefault="007F74D4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субвенция по предоставлению компенсации родителям детей, посещающих образовательные организации -314,3 тыс. рублей.</w:t>
      </w:r>
    </w:p>
    <w:p w:rsidR="00597BDF" w:rsidRPr="003B69EB" w:rsidRDefault="00597BDF" w:rsidP="00597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поступили в районный бюджет в размере </w:t>
      </w:r>
      <w:r w:rsidR="003B69EB" w:rsidRPr="003B69EB">
        <w:rPr>
          <w:rFonts w:ascii="Times New Roman" w:eastAsia="Times New Roman" w:hAnsi="Times New Roman" w:cs="Times New Roman"/>
          <w:sz w:val="26"/>
          <w:szCs w:val="26"/>
          <w:lang w:eastAsia="ru-RU"/>
        </w:rPr>
        <w:t>131247,5</w:t>
      </w:r>
      <w:r w:rsidRPr="003B6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3B69EB" w:rsidRPr="003B69EB">
        <w:rPr>
          <w:rFonts w:ascii="Times New Roman" w:eastAsia="Times New Roman" w:hAnsi="Times New Roman" w:cs="Times New Roman"/>
          <w:sz w:val="26"/>
          <w:szCs w:val="26"/>
          <w:lang w:eastAsia="ru-RU"/>
        </w:rPr>
        <w:t>99,3</w:t>
      </w:r>
      <w:r w:rsidRPr="003B6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что ниже плановых назначений на </w:t>
      </w:r>
      <w:r w:rsidR="003B69EB" w:rsidRPr="003B69EB">
        <w:rPr>
          <w:rFonts w:ascii="Times New Roman" w:eastAsia="Times New Roman" w:hAnsi="Times New Roman" w:cs="Times New Roman"/>
          <w:sz w:val="26"/>
          <w:szCs w:val="26"/>
          <w:lang w:eastAsia="ru-RU"/>
        </w:rPr>
        <w:t>907,8</w:t>
      </w:r>
      <w:r w:rsidRPr="003B6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выше показателя предыдущего года </w:t>
      </w:r>
      <w:r w:rsidR="003B69EB" w:rsidRPr="003B69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65323,5</w:t>
      </w:r>
      <w:r w:rsidRPr="003B6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3B69EB" w:rsidRPr="003B6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текстовой части пояснительной записки не отражены причины неисполнения плановых назначений.  </w:t>
      </w:r>
    </w:p>
    <w:p w:rsidR="00597BDF" w:rsidRPr="00913AF3" w:rsidRDefault="00597BDF" w:rsidP="00597BDF">
      <w:pPr>
        <w:keepNext/>
        <w:spacing w:after="0" w:line="240" w:lineRule="auto"/>
        <w:ind w:left="-567" w:right="-766" w:firstLine="113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Toc418160557"/>
      <w:bookmarkStart w:id="2" w:name="_Toc418161359"/>
      <w:bookmarkStart w:id="3" w:name="_Toc418162004"/>
      <w:r w:rsidRPr="00913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Анализ </w:t>
      </w:r>
      <w:bookmarkEnd w:id="1"/>
      <w:bookmarkEnd w:id="2"/>
      <w:bookmarkEnd w:id="3"/>
      <w:r w:rsidRPr="00913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исполнения расходной части районного бюджета</w:t>
      </w:r>
    </w:p>
    <w:p w:rsidR="00597BDF" w:rsidRPr="00913AF3" w:rsidRDefault="00C22B68" w:rsidP="0091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97BDF" w:rsidRPr="00913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BDF" w:rsidRPr="00913AF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Бюджетной росписью на 202</w:t>
      </w:r>
      <w:r w:rsidR="00913AF3" w:rsidRPr="00913AF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97BDF" w:rsidRPr="00913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утверждены расходы в размере </w:t>
      </w:r>
      <w:r w:rsidR="00913AF3" w:rsidRPr="00913AF3">
        <w:rPr>
          <w:rFonts w:ascii="Times New Roman" w:eastAsia="Times New Roman" w:hAnsi="Times New Roman" w:cs="Times New Roman"/>
          <w:sz w:val="26"/>
          <w:szCs w:val="26"/>
          <w:lang w:eastAsia="ru-RU"/>
        </w:rPr>
        <w:t>1330529,9</w:t>
      </w:r>
      <w:r w:rsidR="00597BDF" w:rsidRPr="00913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исполнение составило </w:t>
      </w:r>
      <w:r w:rsidR="00913AF3" w:rsidRPr="00913AF3">
        <w:rPr>
          <w:rFonts w:ascii="Times New Roman" w:eastAsia="Times New Roman" w:hAnsi="Times New Roman" w:cs="Times New Roman"/>
          <w:sz w:val="26"/>
          <w:szCs w:val="26"/>
          <w:lang w:eastAsia="ru-RU"/>
        </w:rPr>
        <w:t>1287567,1</w:t>
      </w:r>
      <w:r w:rsidR="00597BDF" w:rsidRPr="00913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913AF3" w:rsidRPr="00913AF3">
        <w:rPr>
          <w:rFonts w:ascii="Times New Roman" w:eastAsia="Times New Roman" w:hAnsi="Times New Roman" w:cs="Times New Roman"/>
          <w:sz w:val="26"/>
          <w:szCs w:val="26"/>
          <w:lang w:eastAsia="ru-RU"/>
        </w:rPr>
        <w:t>96,8</w:t>
      </w:r>
      <w:r w:rsidR="00597BDF" w:rsidRPr="00913AF3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597BDF" w:rsidRPr="000500AD" w:rsidRDefault="0021220C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BDF" w:rsidRPr="000500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</w:t>
      </w:r>
      <w:r w:rsidR="000500AD" w:rsidRPr="000500A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97BDF" w:rsidRPr="00050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расходы бюджета увеличились на </w:t>
      </w:r>
      <w:r w:rsidR="000500AD" w:rsidRPr="000500AD">
        <w:rPr>
          <w:rFonts w:ascii="Times New Roman" w:eastAsia="Times New Roman" w:hAnsi="Times New Roman" w:cs="Times New Roman"/>
          <w:sz w:val="26"/>
          <w:szCs w:val="26"/>
          <w:lang w:eastAsia="ru-RU"/>
        </w:rPr>
        <w:t>113757,9</w:t>
      </w:r>
      <w:r w:rsidR="00597BDF" w:rsidRPr="00050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на 9,</w:t>
      </w:r>
      <w:r w:rsidR="000500AD" w:rsidRPr="000500A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97BDF" w:rsidRPr="000500AD">
        <w:rPr>
          <w:rFonts w:ascii="Times New Roman" w:eastAsia="Times New Roman" w:hAnsi="Times New Roman" w:cs="Times New Roman"/>
          <w:sz w:val="26"/>
          <w:szCs w:val="26"/>
          <w:lang w:eastAsia="ru-RU"/>
        </w:rPr>
        <w:t>%. Исполнение расходов по функциональной структуре за последние три года представлены в таблице:</w:t>
      </w:r>
    </w:p>
    <w:p w:rsidR="00597BDF" w:rsidRPr="00597BDF" w:rsidRDefault="00597BDF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DF" w:rsidRPr="00597BDF" w:rsidRDefault="00597BDF" w:rsidP="00597B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7BDF">
        <w:rPr>
          <w:rFonts w:ascii="Times New Roman" w:eastAsia="Times New Roman" w:hAnsi="Times New Roman" w:cs="Times New Roman"/>
          <w:lang w:eastAsia="ru-RU"/>
        </w:rPr>
        <w:t>( 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261"/>
        <w:gridCol w:w="711"/>
        <w:gridCol w:w="1151"/>
        <w:gridCol w:w="821"/>
        <w:gridCol w:w="1151"/>
        <w:gridCol w:w="821"/>
        <w:gridCol w:w="1041"/>
        <w:gridCol w:w="711"/>
      </w:tblGrid>
      <w:tr w:rsidR="00597BDF" w:rsidRPr="00597BDF" w:rsidTr="00CF71DE">
        <w:tc>
          <w:tcPr>
            <w:tcW w:w="2358" w:type="dxa"/>
            <w:vMerge w:val="restart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41" w:type="dxa"/>
            <w:vMerge w:val="restart"/>
            <w:shd w:val="clear" w:color="auto" w:fill="D9D9D9" w:themeFill="background1" w:themeFillShade="D9"/>
          </w:tcPr>
          <w:p w:rsidR="00597BDF" w:rsidRPr="00597BDF" w:rsidRDefault="00597BDF" w:rsidP="00FB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Отчет 20</w:t>
            </w:r>
            <w:r w:rsidR="00FB0A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711" w:type="dxa"/>
            <w:vMerge w:val="restart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  <w:p w:rsidR="00597BDF" w:rsidRPr="00597BDF" w:rsidRDefault="00597BDF" w:rsidP="00FB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B0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711" w:type="dxa"/>
            <w:vMerge w:val="restart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</w:p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</w:tcPr>
          <w:p w:rsidR="00597BDF" w:rsidRPr="00597BDF" w:rsidRDefault="00597BDF" w:rsidP="00FB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Отчет 202</w:t>
            </w:r>
            <w:r w:rsidR="00FB0A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821" w:type="dxa"/>
            <w:vMerge w:val="restart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974" w:type="dxa"/>
            <w:gridSpan w:val="2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</w:tr>
      <w:tr w:rsidR="00597BDF" w:rsidRPr="00597BDF" w:rsidTr="00CF71DE">
        <w:tc>
          <w:tcPr>
            <w:tcW w:w="2358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4" w:type="dxa"/>
            <w:gridSpan w:val="2"/>
            <w:shd w:val="clear" w:color="auto" w:fill="D9D9D9" w:themeFill="background1" w:themeFillShade="D9"/>
          </w:tcPr>
          <w:p w:rsidR="00597BDF" w:rsidRPr="00597BDF" w:rsidRDefault="00597BDF" w:rsidP="00FB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B0A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/20</w:t>
            </w:r>
            <w:r w:rsidR="00FB0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597BDF" w:rsidRPr="00597BDF" w:rsidTr="00CF71DE">
        <w:tc>
          <w:tcPr>
            <w:tcW w:w="2358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В сумме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97BDF" w:rsidRPr="00597BDF" w:rsidTr="00CF71DE">
        <w:tc>
          <w:tcPr>
            <w:tcW w:w="235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04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61210,5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5,72</w:t>
            </w:r>
          </w:p>
        </w:tc>
        <w:tc>
          <w:tcPr>
            <w:tcW w:w="115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79010,6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151" w:type="dxa"/>
          </w:tcPr>
          <w:p w:rsidR="00597BDF" w:rsidRPr="00597BDF" w:rsidRDefault="00F60EE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73842,2</w:t>
            </w:r>
          </w:p>
        </w:tc>
        <w:tc>
          <w:tcPr>
            <w:tcW w:w="821" w:type="dxa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23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-5168,4</w:t>
            </w:r>
          </w:p>
        </w:tc>
        <w:tc>
          <w:tcPr>
            <w:tcW w:w="851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597BDF" w:rsidRPr="00597BDF" w:rsidTr="00CF71DE">
        <w:tc>
          <w:tcPr>
            <w:tcW w:w="235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04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1332,6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597BDF" w:rsidP="00FB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r w:rsidR="00FB0A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1567,3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151" w:type="dxa"/>
          </w:tcPr>
          <w:p w:rsidR="00597BDF" w:rsidRPr="00597BDF" w:rsidRDefault="00F60EE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1551,3</w:t>
            </w:r>
          </w:p>
        </w:tc>
        <w:tc>
          <w:tcPr>
            <w:tcW w:w="821" w:type="dxa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123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-16,0</w:t>
            </w:r>
          </w:p>
        </w:tc>
        <w:tc>
          <w:tcPr>
            <w:tcW w:w="851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597BDF" w:rsidRPr="00597BDF" w:rsidTr="00CF71DE">
        <w:tc>
          <w:tcPr>
            <w:tcW w:w="235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3915,3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15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4326,4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151" w:type="dxa"/>
          </w:tcPr>
          <w:p w:rsidR="00597BDF" w:rsidRPr="00597BDF" w:rsidRDefault="00F60EE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4857,7</w:t>
            </w:r>
          </w:p>
        </w:tc>
        <w:tc>
          <w:tcPr>
            <w:tcW w:w="821" w:type="dxa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123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531,3</w:t>
            </w:r>
          </w:p>
        </w:tc>
        <w:tc>
          <w:tcPr>
            <w:tcW w:w="851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112,3</w:t>
            </w:r>
          </w:p>
        </w:tc>
      </w:tr>
      <w:tr w:rsidR="00597BDF" w:rsidRPr="00597BDF" w:rsidTr="00CF71DE">
        <w:tc>
          <w:tcPr>
            <w:tcW w:w="235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04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78000,3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7,29</w:t>
            </w:r>
          </w:p>
        </w:tc>
        <w:tc>
          <w:tcPr>
            <w:tcW w:w="115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95221,9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151" w:type="dxa"/>
          </w:tcPr>
          <w:p w:rsidR="00597BDF" w:rsidRPr="00597BDF" w:rsidRDefault="00F60EE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159637,7</w:t>
            </w:r>
          </w:p>
        </w:tc>
        <w:tc>
          <w:tcPr>
            <w:tcW w:w="821" w:type="dxa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123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64415,8</w:t>
            </w:r>
          </w:p>
        </w:tc>
        <w:tc>
          <w:tcPr>
            <w:tcW w:w="851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167,6</w:t>
            </w:r>
          </w:p>
        </w:tc>
      </w:tr>
      <w:tr w:rsidR="00597BDF" w:rsidRPr="00597BDF" w:rsidTr="00CF71DE">
        <w:tc>
          <w:tcPr>
            <w:tcW w:w="235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04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32173,5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15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112991,4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151" w:type="dxa"/>
          </w:tcPr>
          <w:p w:rsidR="00597BDF" w:rsidRPr="00597BDF" w:rsidRDefault="00F60EE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74247,7</w:t>
            </w:r>
          </w:p>
        </w:tc>
        <w:tc>
          <w:tcPr>
            <w:tcW w:w="821" w:type="dxa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23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38743,7</w:t>
            </w:r>
          </w:p>
        </w:tc>
        <w:tc>
          <w:tcPr>
            <w:tcW w:w="851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</w:tr>
      <w:tr w:rsidR="00597BDF" w:rsidRPr="00597BDF" w:rsidTr="00CF71DE">
        <w:tc>
          <w:tcPr>
            <w:tcW w:w="235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04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1369,9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15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713,4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151" w:type="dxa"/>
          </w:tcPr>
          <w:p w:rsidR="00597BDF" w:rsidRPr="00597BDF" w:rsidRDefault="00F60EE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242,6</w:t>
            </w:r>
          </w:p>
        </w:tc>
        <w:tc>
          <w:tcPr>
            <w:tcW w:w="821" w:type="dxa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23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-470,8</w:t>
            </w:r>
          </w:p>
        </w:tc>
        <w:tc>
          <w:tcPr>
            <w:tcW w:w="851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</w:tr>
      <w:tr w:rsidR="00597BDF" w:rsidRPr="00597BDF" w:rsidTr="00CF71DE">
        <w:tc>
          <w:tcPr>
            <w:tcW w:w="235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04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552310,7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15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569521,6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151" w:type="dxa"/>
          </w:tcPr>
          <w:p w:rsidR="00597BDF" w:rsidRPr="00597BDF" w:rsidRDefault="00F60EE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633771,9</w:t>
            </w:r>
          </w:p>
        </w:tc>
        <w:tc>
          <w:tcPr>
            <w:tcW w:w="821" w:type="dxa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  <w:tc>
          <w:tcPr>
            <w:tcW w:w="1123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64250,3</w:t>
            </w:r>
          </w:p>
        </w:tc>
        <w:tc>
          <w:tcPr>
            <w:tcW w:w="851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</w:tr>
      <w:tr w:rsidR="00597BDF" w:rsidRPr="00597BDF" w:rsidTr="00CF71DE">
        <w:tc>
          <w:tcPr>
            <w:tcW w:w="235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04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121720,8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597BDF" w:rsidP="00FB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11,</w:t>
            </w:r>
            <w:r w:rsidR="00FB0A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5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135554,5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151" w:type="dxa"/>
          </w:tcPr>
          <w:p w:rsidR="00597BDF" w:rsidRPr="00597BDF" w:rsidRDefault="00F60EE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127036,3</w:t>
            </w:r>
          </w:p>
        </w:tc>
        <w:tc>
          <w:tcPr>
            <w:tcW w:w="821" w:type="dxa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23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-8518,2</w:t>
            </w:r>
          </w:p>
        </w:tc>
        <w:tc>
          <w:tcPr>
            <w:tcW w:w="851" w:type="dxa"/>
            <w:shd w:val="clear" w:color="auto" w:fill="auto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</w:tr>
      <w:tr w:rsidR="00597BDF" w:rsidRPr="00597BDF" w:rsidTr="00CF71DE">
        <w:tc>
          <w:tcPr>
            <w:tcW w:w="235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04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93294,0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8,72</w:t>
            </w:r>
          </w:p>
        </w:tc>
        <w:tc>
          <w:tcPr>
            <w:tcW w:w="115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29931,6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51" w:type="dxa"/>
          </w:tcPr>
          <w:p w:rsidR="00597BDF" w:rsidRPr="00597BDF" w:rsidRDefault="00F60EE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31018,9</w:t>
            </w:r>
          </w:p>
        </w:tc>
        <w:tc>
          <w:tcPr>
            <w:tcW w:w="821" w:type="dxa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123" w:type="dxa"/>
            <w:shd w:val="clear" w:color="auto" w:fill="auto"/>
          </w:tcPr>
          <w:p w:rsidR="00597BDF" w:rsidRPr="00597BDF" w:rsidRDefault="005F71AB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1087,3</w:t>
            </w:r>
          </w:p>
        </w:tc>
        <w:tc>
          <w:tcPr>
            <w:tcW w:w="851" w:type="dxa"/>
            <w:shd w:val="clear" w:color="auto" w:fill="auto"/>
          </w:tcPr>
          <w:p w:rsidR="00597BDF" w:rsidRPr="00597BDF" w:rsidRDefault="005F71AB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</w:tr>
      <w:tr w:rsidR="00597BDF" w:rsidRPr="00597BDF" w:rsidTr="00CF71DE">
        <w:tc>
          <w:tcPr>
            <w:tcW w:w="235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04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19058,0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597BDF" w:rsidP="00FB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FB0AC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15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22841,4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51" w:type="dxa"/>
          </w:tcPr>
          <w:p w:rsidR="00597BDF" w:rsidRPr="00597BDF" w:rsidRDefault="00F60EE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25276,2</w:t>
            </w:r>
          </w:p>
        </w:tc>
        <w:tc>
          <w:tcPr>
            <w:tcW w:w="821" w:type="dxa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23" w:type="dxa"/>
            <w:shd w:val="clear" w:color="auto" w:fill="auto"/>
          </w:tcPr>
          <w:p w:rsidR="00597BDF" w:rsidRPr="00597BDF" w:rsidRDefault="005F71AB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2434,8</w:t>
            </w:r>
          </w:p>
        </w:tc>
        <w:tc>
          <w:tcPr>
            <w:tcW w:w="851" w:type="dxa"/>
            <w:shd w:val="clear" w:color="auto" w:fill="auto"/>
          </w:tcPr>
          <w:p w:rsidR="00597BDF" w:rsidRPr="00597BDF" w:rsidRDefault="005F71AB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</w:tr>
      <w:tr w:rsidR="00597BDF" w:rsidRPr="00597BDF" w:rsidTr="00CF71DE">
        <w:tc>
          <w:tcPr>
            <w:tcW w:w="235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4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597BDF" w:rsidP="00FB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FB0A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0,0004</w:t>
            </w:r>
          </w:p>
        </w:tc>
        <w:tc>
          <w:tcPr>
            <w:tcW w:w="1151" w:type="dxa"/>
          </w:tcPr>
          <w:p w:rsidR="00597BDF" w:rsidRPr="00597BDF" w:rsidRDefault="00F60EE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21" w:type="dxa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0,0001</w:t>
            </w:r>
          </w:p>
        </w:tc>
        <w:tc>
          <w:tcPr>
            <w:tcW w:w="1123" w:type="dxa"/>
            <w:shd w:val="clear" w:color="auto" w:fill="auto"/>
          </w:tcPr>
          <w:p w:rsidR="00597BDF" w:rsidRPr="00597BDF" w:rsidRDefault="005F71AB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-3,6</w:t>
            </w:r>
          </w:p>
        </w:tc>
        <w:tc>
          <w:tcPr>
            <w:tcW w:w="851" w:type="dxa"/>
            <w:shd w:val="clear" w:color="auto" w:fill="auto"/>
          </w:tcPr>
          <w:p w:rsidR="00597BDF" w:rsidRPr="00597BDF" w:rsidRDefault="005F71AB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</w:tc>
      </w:tr>
      <w:tr w:rsidR="00597BDF" w:rsidRPr="00597BDF" w:rsidTr="00CF71DE">
        <w:tc>
          <w:tcPr>
            <w:tcW w:w="2358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04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105026,6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597BDF" w:rsidP="00FB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  <w:r w:rsidR="00FB0A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122123,9</w:t>
            </w:r>
          </w:p>
        </w:tc>
        <w:tc>
          <w:tcPr>
            <w:tcW w:w="711" w:type="dxa"/>
            <w:shd w:val="clear" w:color="auto" w:fill="auto"/>
          </w:tcPr>
          <w:p w:rsidR="00597BDF" w:rsidRPr="00597BDF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151" w:type="dxa"/>
          </w:tcPr>
          <w:p w:rsidR="00597BDF" w:rsidRPr="00597BDF" w:rsidRDefault="00F60EE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156082,9</w:t>
            </w:r>
          </w:p>
        </w:tc>
        <w:tc>
          <w:tcPr>
            <w:tcW w:w="821" w:type="dxa"/>
          </w:tcPr>
          <w:p w:rsidR="00597BDF" w:rsidRPr="00597BDF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123" w:type="dxa"/>
            <w:shd w:val="clear" w:color="auto" w:fill="auto"/>
          </w:tcPr>
          <w:p w:rsidR="00597BDF" w:rsidRPr="00597BDF" w:rsidRDefault="005F71AB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33959,0</w:t>
            </w:r>
          </w:p>
        </w:tc>
        <w:tc>
          <w:tcPr>
            <w:tcW w:w="851" w:type="dxa"/>
            <w:shd w:val="clear" w:color="auto" w:fill="auto"/>
          </w:tcPr>
          <w:p w:rsidR="00597BDF" w:rsidRPr="00597BDF" w:rsidRDefault="005F71AB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</w:tr>
      <w:tr w:rsidR="00597BDF" w:rsidRPr="00F60EE6" w:rsidTr="00CF71DE">
        <w:tc>
          <w:tcPr>
            <w:tcW w:w="2358" w:type="dxa"/>
            <w:shd w:val="clear" w:color="auto" w:fill="auto"/>
          </w:tcPr>
          <w:p w:rsidR="00597BDF" w:rsidRPr="00F60EE6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EE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</w:tcPr>
          <w:p w:rsidR="00597BDF" w:rsidRPr="00F60EE6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EE6">
              <w:rPr>
                <w:rFonts w:ascii="Times New Roman" w:eastAsia="Times New Roman" w:hAnsi="Times New Roman" w:cs="Times New Roman"/>
                <w:b/>
                <w:lang w:eastAsia="ru-RU"/>
              </w:rPr>
              <w:t>1069478,4</w:t>
            </w:r>
            <w:r w:rsidR="00597BDF" w:rsidRPr="00F60EE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597BDF" w:rsidRPr="00F60EE6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EE6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597BDF" w:rsidRPr="00F60EE6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EE6">
              <w:rPr>
                <w:rFonts w:ascii="Times New Roman" w:eastAsia="Times New Roman" w:hAnsi="Times New Roman" w:cs="Times New Roman"/>
                <w:b/>
                <w:lang w:eastAsia="ru-RU"/>
              </w:rPr>
              <w:t>1173809,2</w:t>
            </w:r>
          </w:p>
        </w:tc>
        <w:tc>
          <w:tcPr>
            <w:tcW w:w="711" w:type="dxa"/>
            <w:shd w:val="clear" w:color="auto" w:fill="auto"/>
          </w:tcPr>
          <w:p w:rsidR="00597BDF" w:rsidRPr="00F60EE6" w:rsidRDefault="00FB0AC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EE6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151" w:type="dxa"/>
          </w:tcPr>
          <w:p w:rsidR="00597BDF" w:rsidRPr="00F60EE6" w:rsidRDefault="00F60EE6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EE6">
              <w:rPr>
                <w:rFonts w:ascii="Times New Roman" w:eastAsia="Times New Roman" w:hAnsi="Times New Roman" w:cs="Times New Roman"/>
                <w:b/>
                <w:lang w:eastAsia="ru-RU"/>
              </w:rPr>
              <w:t>1287567,1</w:t>
            </w:r>
          </w:p>
        </w:tc>
        <w:tc>
          <w:tcPr>
            <w:tcW w:w="821" w:type="dxa"/>
          </w:tcPr>
          <w:p w:rsidR="00597BDF" w:rsidRPr="00F60EE6" w:rsidRDefault="00B80CD7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123" w:type="dxa"/>
            <w:shd w:val="clear" w:color="auto" w:fill="auto"/>
          </w:tcPr>
          <w:p w:rsidR="00597BDF" w:rsidRPr="00F60EE6" w:rsidRDefault="005F71AB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113757,9</w:t>
            </w:r>
          </w:p>
        </w:tc>
        <w:tc>
          <w:tcPr>
            <w:tcW w:w="851" w:type="dxa"/>
            <w:shd w:val="clear" w:color="auto" w:fill="auto"/>
          </w:tcPr>
          <w:p w:rsidR="00597BDF" w:rsidRPr="00F60EE6" w:rsidRDefault="005F71AB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109,7</w:t>
            </w:r>
          </w:p>
        </w:tc>
      </w:tr>
    </w:tbl>
    <w:p w:rsidR="00597BDF" w:rsidRPr="00F60EE6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BDF" w:rsidRPr="005F71AB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Анализируя таблицу можно сделать вывод, что в 202</w:t>
      </w:r>
      <w:r w:rsidR="005F71AB"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наибольший удельный вес в структуре расходов составляет образование </w:t>
      </w:r>
      <w:r w:rsidR="005F71AB"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>49,2</w:t>
      </w:r>
      <w:r w:rsid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</w:t>
      </w:r>
      <w:r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7BDF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5F71AB"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сравнению с 20</w:t>
      </w:r>
      <w:r w:rsidR="005F71AB"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уменьшился объем расходов по разделам:</w:t>
      </w:r>
    </w:p>
    <w:p w:rsidR="00B4621C" w:rsidRPr="005F71AB" w:rsidRDefault="00C22B68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-«</w:t>
      </w:r>
      <w:r w:rsid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общегосударственные расходы» на сумму 5168,4 тыс. рублей (6,6%);</w:t>
      </w:r>
    </w:p>
    <w:p w:rsidR="00597BDF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«охрана окружающей среды» на сумму </w:t>
      </w:r>
      <w:r w:rsidR="005F71AB"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>470,8</w:t>
      </w:r>
      <w:r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F71AB"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>34,0</w:t>
      </w:r>
      <w:r w:rsidRPr="005F71AB">
        <w:rPr>
          <w:rFonts w:ascii="Times New Roman" w:eastAsia="Times New Roman" w:hAnsi="Times New Roman" w:cs="Times New Roman"/>
          <w:sz w:val="26"/>
          <w:szCs w:val="26"/>
          <w:lang w:eastAsia="ru-RU"/>
        </w:rPr>
        <w:t>%) ;</w:t>
      </w:r>
    </w:p>
    <w:p w:rsidR="00B4621C" w:rsidRPr="005F71AB" w:rsidRDefault="00C22B68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«</w:t>
      </w:r>
      <w:r w:rsid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 и кинематография» на сумму 8518,2 тыс. рублей.</w:t>
      </w:r>
    </w:p>
    <w:p w:rsidR="00597BDF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</w:t>
      </w:r>
      <w:r w:rsidR="00B4621C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увеличен объем расходов по разделам:</w:t>
      </w:r>
    </w:p>
    <w:p w:rsidR="00B4621C" w:rsidRPr="00B4621C" w:rsidRDefault="00B4621C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«национальная экономика» на сумму 64415,8 тыс. рублей (67,6%);</w:t>
      </w:r>
    </w:p>
    <w:p w:rsidR="00597BDF" w:rsidRPr="00B4621C" w:rsidRDefault="00B4621C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BDF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«национальная </w:t>
      </w:r>
      <w:r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и правоохранительная деятельность</w:t>
      </w:r>
      <w:r w:rsidR="00597BDF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531,3</w:t>
      </w:r>
      <w:r w:rsidR="00597BDF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97BDF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(</w:t>
      </w:r>
      <w:r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12,3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597BDF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97BDF" w:rsidRPr="00B4621C" w:rsidRDefault="00B4621C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97BDF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>ищно-коммунальное хозяйство» на</w:t>
      </w:r>
      <w:r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38743,7</w:t>
      </w:r>
      <w:r w:rsidR="00597BDF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34,2</w:t>
      </w:r>
      <w:r w:rsidR="00597BDF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%);</w:t>
      </w:r>
    </w:p>
    <w:p w:rsidR="00597BDF" w:rsidRPr="00B4621C" w:rsidRDefault="00C22B68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«образование» на</w:t>
      </w:r>
      <w:r w:rsidR="00B4621C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64250,3</w:t>
      </w:r>
      <w:r w:rsidR="00597BDF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B4621C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97BDF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,1%); </w:t>
      </w:r>
    </w:p>
    <w:p w:rsidR="00597BDF" w:rsidRPr="00597BDF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- «</w:t>
      </w:r>
      <w:r w:rsidR="00B4621C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политика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</w:t>
      </w:r>
      <w:r w:rsidR="00B4621C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1087,3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4621C"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3,6</w:t>
      </w:r>
      <w:r w:rsidRPr="00B4621C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59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</w:p>
    <w:p w:rsidR="00597BDF" w:rsidRPr="002911AC" w:rsidRDefault="00C22B68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«</w:t>
      </w:r>
      <w:r w:rsid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97BDF"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изическая культура и спорт» на </w:t>
      </w:r>
      <w:r w:rsidR="00B4621C"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2434,</w:t>
      </w:r>
      <w:r w:rsidR="002911AC"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97BDF"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2911AC"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10,7</w:t>
      </w:r>
      <w:r w:rsidR="00597BDF"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%);</w:t>
      </w:r>
    </w:p>
    <w:p w:rsidR="00597BDF" w:rsidRPr="002911AC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- «</w:t>
      </w:r>
      <w:r w:rsid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ежбюджетные трансферты» на </w:t>
      </w:r>
      <w:r w:rsidR="002911AC"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33959,0</w:t>
      </w:r>
      <w:r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2911AC"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27,8</w:t>
      </w:r>
      <w:r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597BDF" w:rsidRPr="002911AC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финансировани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социально-культурной сферы в </w:t>
      </w:r>
      <w:r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911AC"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приходится-</w:t>
      </w:r>
      <w:r w:rsidR="002911AC"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63,5</w:t>
      </w:r>
      <w:r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%, 20</w:t>
      </w:r>
      <w:r w:rsidR="002911AC"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2911AC"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64,4</w:t>
      </w:r>
      <w:r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%, в 2018 году-</w:t>
      </w:r>
      <w:r w:rsidR="002911AC"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71,7</w:t>
      </w:r>
      <w:r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97BDF" w:rsidRPr="002911AC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1A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бюджета в разрезе функциональной структуры за отчетный период приведено в таблице</w:t>
      </w:r>
    </w:p>
    <w:p w:rsidR="00597BDF" w:rsidRPr="00597BDF" w:rsidRDefault="00597BDF" w:rsidP="00597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7BDF">
        <w:rPr>
          <w:rFonts w:ascii="Times New Roman" w:eastAsia="Times New Roman" w:hAnsi="Times New Roman" w:cs="Times New Roman"/>
          <w:color w:val="000000"/>
          <w:lang w:eastAsia="ru-RU"/>
        </w:rPr>
        <w:t>(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1665"/>
        <w:gridCol w:w="1749"/>
        <w:gridCol w:w="1376"/>
        <w:gridCol w:w="1561"/>
      </w:tblGrid>
      <w:tr w:rsidR="00597BDF" w:rsidRPr="00597BDF" w:rsidTr="00CF71DE">
        <w:trPr>
          <w:trHeight w:val="350"/>
        </w:trPr>
        <w:tc>
          <w:tcPr>
            <w:tcW w:w="3322" w:type="dxa"/>
            <w:vMerge w:val="restart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статьи</w:t>
            </w:r>
          </w:p>
        </w:tc>
        <w:tc>
          <w:tcPr>
            <w:tcW w:w="1684" w:type="dxa"/>
            <w:vMerge w:val="restart"/>
            <w:shd w:val="clear" w:color="auto" w:fill="D9D9D9" w:themeFill="background1" w:themeFillShade="D9"/>
          </w:tcPr>
          <w:p w:rsidR="00597BDF" w:rsidRPr="00597BDF" w:rsidRDefault="00597BDF" w:rsidP="00291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Уточненный План 202</w:t>
            </w:r>
            <w:r w:rsidR="0029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3" w:type="dxa"/>
            <w:vMerge w:val="restart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  <w:p w:rsidR="00597BDF" w:rsidRPr="00597BDF" w:rsidRDefault="00597BDF" w:rsidP="00291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9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3" w:type="dxa"/>
            <w:gridSpan w:val="2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</w:t>
            </w:r>
          </w:p>
        </w:tc>
      </w:tr>
      <w:tr w:rsidR="00597BDF" w:rsidRPr="00597BDF" w:rsidTr="00CF71DE">
        <w:tc>
          <w:tcPr>
            <w:tcW w:w="3322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76189,5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73842,2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-2347,3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1551,3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1551,3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4929,4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4857,7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-71,7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180710,0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159637,7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223A89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-21072,3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223A89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78204,7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74247,7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223A89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-3957,0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223A89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94,9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579,4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242,6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223A89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-336,8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6A2CAA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637441,9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633771,9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6A2CAA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-3670,0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6A2CAA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127248,7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127036,3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6A2CAA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-212,4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6A2CAA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42097,1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31018,9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6A2CAA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-11078,2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6A2CAA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25276,2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25276,2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:rsidR="00597BDF" w:rsidRPr="00597BDF" w:rsidRDefault="006A2CAA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:rsidR="00597BDF" w:rsidRPr="00597BDF" w:rsidRDefault="006A2CAA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156300,1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156082,9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6A2CAA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-217,2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6A2CAA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597BDF" w:rsidRPr="00597BDF" w:rsidTr="00CF71DE">
        <w:tc>
          <w:tcPr>
            <w:tcW w:w="3322" w:type="dxa"/>
            <w:shd w:val="clear" w:color="auto" w:fill="auto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84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1330529,9</w:t>
            </w:r>
          </w:p>
        </w:tc>
        <w:tc>
          <w:tcPr>
            <w:tcW w:w="1793" w:type="dxa"/>
            <w:shd w:val="clear" w:color="auto" w:fill="auto"/>
          </w:tcPr>
          <w:p w:rsidR="00597BDF" w:rsidRPr="00597BDF" w:rsidRDefault="00FB61F3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1287567,1</w:t>
            </w:r>
          </w:p>
        </w:tc>
        <w:tc>
          <w:tcPr>
            <w:tcW w:w="1409" w:type="dxa"/>
            <w:shd w:val="clear" w:color="auto" w:fill="auto"/>
          </w:tcPr>
          <w:p w:rsidR="00597BDF" w:rsidRPr="00597BDF" w:rsidRDefault="006A2CAA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-42962,8</w:t>
            </w:r>
          </w:p>
        </w:tc>
        <w:tc>
          <w:tcPr>
            <w:tcW w:w="1624" w:type="dxa"/>
            <w:shd w:val="clear" w:color="auto" w:fill="auto"/>
          </w:tcPr>
          <w:p w:rsidR="00597BDF" w:rsidRPr="00597BDF" w:rsidRDefault="006A2CAA" w:rsidP="0059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</w:tr>
    </w:tbl>
    <w:p w:rsidR="00597BDF" w:rsidRPr="00597BDF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lang w:eastAsia="ru-RU"/>
        </w:rPr>
      </w:pPr>
    </w:p>
    <w:p w:rsidR="00597BDF" w:rsidRPr="00523EE1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денежном выражении наибольшие отклонения фактического исполнения от плановых назначений отмечаются по следующим направлениям:</w:t>
      </w:r>
    </w:p>
    <w:p w:rsidR="00597BDF" w:rsidRPr="00523EE1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общегосударственные вопросы -</w:t>
      </w:r>
      <w:r w:rsidR="00523EE1"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>2347,3 тыс. рублей</w:t>
      </w:r>
      <w:r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97BDF" w:rsidRPr="00523EE1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образование -</w:t>
      </w:r>
      <w:r w:rsidR="00523EE1"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>3670,0</w:t>
      </w:r>
      <w:r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97BDF" w:rsidRPr="00523EE1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национальная экономика– </w:t>
      </w:r>
      <w:r w:rsidR="00523EE1"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>21072,3</w:t>
      </w:r>
      <w:r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рублей:</w:t>
      </w:r>
    </w:p>
    <w:p w:rsidR="00597BDF" w:rsidRPr="00523EE1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-жилищно-коммунальное хозяйство -</w:t>
      </w:r>
      <w:r w:rsidR="00523EE1"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>3957,0</w:t>
      </w:r>
      <w:r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рублей:</w:t>
      </w:r>
    </w:p>
    <w:p w:rsidR="00597BDF" w:rsidRPr="00523EE1" w:rsidRDefault="00597BDF" w:rsidP="00597BDF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социальная политика -</w:t>
      </w:r>
      <w:r w:rsidR="00523EE1"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>11078,2</w:t>
      </w:r>
      <w:r w:rsidRPr="0052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97BDF" w:rsidRPr="00215E89" w:rsidRDefault="00597BDF" w:rsidP="00597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15E8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Как следует из сведений об исполнении бюджета по ГАБС форм 0503164, а также  пояснительной записки отчета об исполнении консолидированного бюджета неисполнением бюджетных назначений явилось отражение экономии использования бюджетных средств, в результате проведения конкурсных процедур, длительностью проведения конкурсных процедур и использование бюджетных средств по фактической потребности, а также </w:t>
      </w:r>
      <w:r w:rsidR="00215E89" w:rsidRPr="00215E8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 освоение средств субсидии по развитию туристско-рекреационных зон по причине несостоявшихся конкурсных процедур в размере 170000,0 тыс. рублей; не поступление безвозмездных поступлений от ООО «Сибуголь» по Соглашению в размере 3917,0 тыс. рублей</w:t>
      </w:r>
      <w:r w:rsidRPr="00215E8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597BDF" w:rsidRPr="00E0358D" w:rsidRDefault="00597BDF" w:rsidP="00597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нормативные обязательства (пенсия за выслугу лет лицам, замещающим муниципальные должности, ежегодная денежная выплата Почетным гражданам) исполнены в сумме </w:t>
      </w:r>
      <w:r w:rsidR="00E11CC1">
        <w:rPr>
          <w:rFonts w:ascii="Times New Roman" w:eastAsia="Times New Roman" w:hAnsi="Times New Roman" w:cs="Times New Roman"/>
          <w:sz w:val="26"/>
          <w:szCs w:val="26"/>
          <w:lang w:eastAsia="ru-RU"/>
        </w:rPr>
        <w:t>1547,4</w:t>
      </w:r>
      <w:r w:rsidRPr="00E0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на </w:t>
      </w:r>
      <w:r w:rsidR="00E0358D" w:rsidRPr="00E0358D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E0358D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уточненной бюджетной росписи.</w:t>
      </w:r>
    </w:p>
    <w:p w:rsidR="00597BDF" w:rsidRPr="00D82867" w:rsidRDefault="00597BDF" w:rsidP="00597B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2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Исполнение районного бюджета по ведомственной</w:t>
      </w:r>
    </w:p>
    <w:p w:rsidR="00597BDF" w:rsidRPr="00D82867" w:rsidRDefault="00597BDF" w:rsidP="00597B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2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структуре расходов </w:t>
      </w:r>
    </w:p>
    <w:p w:rsidR="00597BDF" w:rsidRPr="00D82867" w:rsidRDefault="00597BDF" w:rsidP="00597B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Аналитическая информация по исполнению районного бюджета по ведомственной структуре расходов представлена в таблице </w:t>
      </w:r>
    </w:p>
    <w:p w:rsidR="00597BDF" w:rsidRPr="00597BDF" w:rsidRDefault="00597BDF" w:rsidP="00597B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597BDF">
        <w:rPr>
          <w:rFonts w:ascii="Times New Roman" w:eastAsia="Times New Roman" w:hAnsi="Times New Roman" w:cs="Times New Roman"/>
          <w:lang w:eastAsia="ru-RU"/>
        </w:rPr>
        <w:t>Тыс. рублей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3"/>
        <w:gridCol w:w="1183"/>
        <w:gridCol w:w="1275"/>
        <w:gridCol w:w="851"/>
        <w:gridCol w:w="1134"/>
        <w:gridCol w:w="850"/>
      </w:tblGrid>
      <w:tr w:rsidR="00597BDF" w:rsidRPr="00597BDF" w:rsidTr="009C3C00">
        <w:trPr>
          <w:trHeight w:val="537"/>
        </w:trPr>
        <w:tc>
          <w:tcPr>
            <w:tcW w:w="4233" w:type="dxa"/>
            <w:vMerge w:val="restart"/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183" w:type="dxa"/>
            <w:vMerge w:val="restart"/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Утвержд. бюджетные назначения         (тыс. руб.)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Доля,%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отклонение               (гр.2-гр.1)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% исполнения</w:t>
            </w:r>
          </w:p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97BDF" w:rsidRPr="00597BDF" w:rsidTr="009C3C00">
        <w:trPr>
          <w:trHeight w:val="417"/>
        </w:trPr>
        <w:tc>
          <w:tcPr>
            <w:tcW w:w="4233" w:type="dxa"/>
            <w:vMerge/>
            <w:vAlign w:val="center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3" w:type="dxa"/>
            <w:vMerge/>
            <w:vAlign w:val="center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</w:tc>
        <w:tc>
          <w:tcPr>
            <w:tcW w:w="850" w:type="dxa"/>
            <w:vMerge/>
            <w:vAlign w:val="center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97BDF" w:rsidRPr="00597BDF" w:rsidTr="009C3C00">
        <w:trPr>
          <w:trHeight w:val="226"/>
        </w:trPr>
        <w:tc>
          <w:tcPr>
            <w:tcW w:w="4233" w:type="dxa"/>
            <w:noWrap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</w:tc>
        <w:tc>
          <w:tcPr>
            <w:tcW w:w="1183" w:type="dxa"/>
            <w:noWrap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5" w:type="dxa"/>
            <w:noWrap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  <w:noWrap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597BDF" w:rsidRPr="00597BDF" w:rsidTr="009C3C00">
        <w:trPr>
          <w:trHeight w:val="269"/>
        </w:trPr>
        <w:tc>
          <w:tcPr>
            <w:tcW w:w="4233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Балахтинский районный Совет депутатов</w:t>
            </w:r>
          </w:p>
        </w:tc>
        <w:tc>
          <w:tcPr>
            <w:tcW w:w="1183" w:type="dxa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4568,7</w:t>
            </w:r>
          </w:p>
        </w:tc>
        <w:tc>
          <w:tcPr>
            <w:tcW w:w="1275" w:type="dxa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4550,8</w:t>
            </w:r>
          </w:p>
        </w:tc>
        <w:tc>
          <w:tcPr>
            <w:tcW w:w="851" w:type="dxa"/>
          </w:tcPr>
          <w:p w:rsidR="00597BDF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134" w:type="dxa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-17,9</w:t>
            </w:r>
          </w:p>
        </w:tc>
        <w:tc>
          <w:tcPr>
            <w:tcW w:w="850" w:type="dxa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597BDF" w:rsidRPr="00597BDF" w:rsidTr="009C3C00">
        <w:trPr>
          <w:trHeight w:val="269"/>
        </w:trPr>
        <w:tc>
          <w:tcPr>
            <w:tcW w:w="4233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1183" w:type="dxa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74909,4</w:t>
            </w:r>
          </w:p>
        </w:tc>
        <w:tc>
          <w:tcPr>
            <w:tcW w:w="1275" w:type="dxa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70526,4</w:t>
            </w:r>
          </w:p>
        </w:tc>
        <w:tc>
          <w:tcPr>
            <w:tcW w:w="851" w:type="dxa"/>
          </w:tcPr>
          <w:p w:rsidR="00B95BF9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134" w:type="dxa"/>
            <w:noWrap/>
            <w:vAlign w:val="bottom"/>
          </w:tcPr>
          <w:p w:rsidR="00597BDF" w:rsidRPr="00597BDF" w:rsidRDefault="009C3C00" w:rsidP="009C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-4383,0</w:t>
            </w:r>
          </w:p>
        </w:tc>
        <w:tc>
          <w:tcPr>
            <w:tcW w:w="850" w:type="dxa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</w:tr>
      <w:tr w:rsidR="00597BDF" w:rsidRPr="00597BDF" w:rsidTr="009C3C00">
        <w:trPr>
          <w:trHeight w:val="294"/>
        </w:trPr>
        <w:tc>
          <w:tcPr>
            <w:tcW w:w="4233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Отдел культуры и молодежной политики администрации Балахтинского района</w:t>
            </w:r>
          </w:p>
        </w:tc>
        <w:tc>
          <w:tcPr>
            <w:tcW w:w="1183" w:type="dxa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111455,3</w:t>
            </w:r>
          </w:p>
        </w:tc>
        <w:tc>
          <w:tcPr>
            <w:tcW w:w="1275" w:type="dxa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111255,2</w:t>
            </w:r>
          </w:p>
        </w:tc>
        <w:tc>
          <w:tcPr>
            <w:tcW w:w="851" w:type="dxa"/>
          </w:tcPr>
          <w:p w:rsidR="00B95BF9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134" w:type="dxa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-200,1</w:t>
            </w:r>
          </w:p>
        </w:tc>
        <w:tc>
          <w:tcPr>
            <w:tcW w:w="850" w:type="dxa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597BDF" w:rsidRPr="00597BDF" w:rsidTr="009C3C00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641309,5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636620,1</w:t>
            </w:r>
          </w:p>
        </w:tc>
        <w:tc>
          <w:tcPr>
            <w:tcW w:w="851" w:type="dxa"/>
            <w:shd w:val="clear" w:color="auto" w:fill="FFFFFF"/>
          </w:tcPr>
          <w:p w:rsid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BF9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-4689,4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597BDF" w:rsidRPr="00597BDF" w:rsidTr="009C3C00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Балахтинского района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268598,6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268338,3</w:t>
            </w:r>
          </w:p>
        </w:tc>
        <w:tc>
          <w:tcPr>
            <w:tcW w:w="851" w:type="dxa"/>
            <w:shd w:val="clear" w:color="auto" w:fill="FFFFFF"/>
          </w:tcPr>
          <w:p w:rsid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BF9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-260,3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597BDF" w:rsidRPr="00597BDF" w:rsidTr="009C3C00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Администрация Балахтинского района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156973,3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134289,9</w:t>
            </w:r>
          </w:p>
        </w:tc>
        <w:tc>
          <w:tcPr>
            <w:tcW w:w="851" w:type="dxa"/>
            <w:shd w:val="clear" w:color="auto" w:fill="FFFFFF"/>
          </w:tcPr>
          <w:p w:rsid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BF9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-22683,4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</w:tr>
      <w:tr w:rsidR="00597BDF" w:rsidRPr="00597BDF" w:rsidTr="009C3C00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МКСУ «Межведомственная бухгалтерия»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15525,2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597BDF" w:rsidRPr="00597BDF" w:rsidRDefault="00D82867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15291,2</w:t>
            </w:r>
          </w:p>
        </w:tc>
        <w:tc>
          <w:tcPr>
            <w:tcW w:w="851" w:type="dxa"/>
            <w:shd w:val="clear" w:color="auto" w:fill="FFFFFF"/>
          </w:tcPr>
          <w:p w:rsid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BF9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-234,0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597BDF" w:rsidRPr="00597BDF" w:rsidTr="009C3C00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МКУ «Балахтинский технологический центр»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597BDF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38758,5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597BDF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38554,5</w:t>
            </w:r>
          </w:p>
        </w:tc>
        <w:tc>
          <w:tcPr>
            <w:tcW w:w="851" w:type="dxa"/>
            <w:shd w:val="clear" w:color="auto" w:fill="FFFFFF"/>
          </w:tcPr>
          <w:p w:rsid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BF9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-204,0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597BDF" w:rsidRPr="00597BDF" w:rsidTr="009C3C00">
        <w:trPr>
          <w:trHeight w:val="314"/>
        </w:trPr>
        <w:tc>
          <w:tcPr>
            <w:tcW w:w="4233" w:type="dxa"/>
            <w:shd w:val="clear" w:color="auto" w:fill="FFFFFF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МКУ «Управление имуществом ,землепользования и землеустройства»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597BDF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18431,6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597BDF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8140,8</w:t>
            </w:r>
          </w:p>
        </w:tc>
        <w:tc>
          <w:tcPr>
            <w:tcW w:w="851" w:type="dxa"/>
            <w:shd w:val="clear" w:color="auto" w:fill="FFFFFF"/>
          </w:tcPr>
          <w:p w:rsid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BF9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-10290,8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97BDF" w:rsidRPr="00597BDF" w:rsidRDefault="009C3C00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</w:tr>
      <w:tr w:rsidR="00597BDF" w:rsidRPr="00597BDF" w:rsidTr="009C3C00">
        <w:trPr>
          <w:trHeight w:val="331"/>
        </w:trPr>
        <w:tc>
          <w:tcPr>
            <w:tcW w:w="4233" w:type="dxa"/>
            <w:shd w:val="clear" w:color="auto" w:fill="FFFFFF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597BDF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1330529,9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597BDF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1287567,1</w:t>
            </w:r>
          </w:p>
        </w:tc>
        <w:tc>
          <w:tcPr>
            <w:tcW w:w="851" w:type="dxa"/>
            <w:shd w:val="clear" w:color="auto" w:fill="FFFFFF"/>
          </w:tcPr>
          <w:p w:rsidR="00B95BF9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97BDF" w:rsidRPr="00597BDF" w:rsidRDefault="00B95BF9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597BDF" w:rsidRPr="00597BDF" w:rsidRDefault="00972B16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-42962,8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97BDF" w:rsidRPr="00597BDF" w:rsidRDefault="00972B16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96,7</w:t>
            </w:r>
          </w:p>
        </w:tc>
      </w:tr>
    </w:tbl>
    <w:p w:rsidR="00597BDF" w:rsidRPr="00597BDF" w:rsidRDefault="00597BDF" w:rsidP="00597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DF" w:rsidRPr="00D9645E" w:rsidRDefault="00D9645E" w:rsidP="00597BDF">
      <w:pPr>
        <w:spacing w:after="0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97BDF"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объем неисполненных обязательств, сложился по </w:t>
      </w:r>
      <w:r w:rsidR="00AE0E4F"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597BDF"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Балахтинского района»-</w:t>
      </w:r>
      <w:r w:rsidR="00AE0E4F"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>22683,4</w:t>
      </w:r>
      <w:r w:rsidR="00597BDF"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97BDF"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>, МКУ «УИЗИЗ» -</w:t>
      </w:r>
      <w:r w:rsidR="007318C6"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>10290,8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по</w:t>
      </w:r>
      <w:r w:rsidR="00597BDF" w:rsidRPr="00D9645E">
        <w:rPr>
          <w:rFonts w:ascii="Times New Roman" w:hAnsi="Times New Roman" w:cs="Times New Roman"/>
          <w:sz w:val="26"/>
          <w:szCs w:val="26"/>
        </w:rPr>
        <w:t xml:space="preserve"> субвенции бюджетам муниципальных образований на обеспечение жилыми помещениями детей сирот и детей, оставшихся без попечения родителей, лиц из числа детей сирот и детей,</w:t>
      </w:r>
      <w:r w:rsidR="00C22B68">
        <w:rPr>
          <w:rFonts w:ascii="Times New Roman" w:hAnsi="Times New Roman" w:cs="Times New Roman"/>
          <w:sz w:val="26"/>
          <w:szCs w:val="26"/>
        </w:rPr>
        <w:t xml:space="preserve"> </w:t>
      </w:r>
      <w:r w:rsidR="00597BDF" w:rsidRPr="00D9645E">
        <w:rPr>
          <w:rFonts w:ascii="Times New Roman" w:hAnsi="Times New Roman" w:cs="Times New Roman"/>
          <w:sz w:val="26"/>
          <w:szCs w:val="26"/>
        </w:rPr>
        <w:t>оставшихся без попечения родителей за счет средств краевого бюджета .</w:t>
      </w:r>
    </w:p>
    <w:p w:rsidR="00597BDF" w:rsidRPr="00D9645E" w:rsidRDefault="00597BDF" w:rsidP="00597B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Относительно доли расходов в объеме исполненных расходах районного бюджета по ведомственной структуре следует отметить, что доли расходов ГРБС распределились следующим образом:</w:t>
      </w:r>
    </w:p>
    <w:p w:rsidR="00597BDF" w:rsidRPr="00D9645E" w:rsidRDefault="00597BDF" w:rsidP="00597B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Управление образования </w:t>
      </w:r>
      <w:r w:rsidR="00D9645E"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>49,4</w:t>
      </w:r>
      <w:r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</w:t>
      </w:r>
    </w:p>
    <w:p w:rsidR="00597BDF" w:rsidRPr="00D9645E" w:rsidRDefault="00597BDF" w:rsidP="00597B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Финансовое управление – 20,</w:t>
      </w:r>
      <w:r w:rsidR="00D9645E"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</w:t>
      </w:r>
    </w:p>
    <w:p w:rsidR="00597BDF" w:rsidRPr="00D9645E" w:rsidRDefault="00597BDF" w:rsidP="00597B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 культуры молодежной политики-</w:t>
      </w:r>
      <w:r w:rsidR="00D9645E"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>8,6</w:t>
      </w:r>
      <w:r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597BDF" w:rsidRPr="00D9645E" w:rsidRDefault="00597BDF" w:rsidP="00597B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Администрация муниципального района – </w:t>
      </w:r>
      <w:r w:rsidR="00D9645E"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>10,4</w:t>
      </w:r>
      <w:r w:rsidRPr="00D96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</w:t>
      </w:r>
    </w:p>
    <w:p w:rsidR="00597BDF" w:rsidRPr="00597BDF" w:rsidRDefault="00597BDF" w:rsidP="00597B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Суммарный удельный вес остальных главных распорядителей средств районного бюджета составляет </w:t>
      </w:r>
      <w:r w:rsidR="00D9645E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Pr="0059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FF3262" w:rsidRDefault="00FF3262" w:rsidP="00FF3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В рамках проведенного контрольного мероприятия установлен факт </w:t>
      </w:r>
      <w:r w:rsidR="00A17334">
        <w:rPr>
          <w:rFonts w:ascii="Times New Roman" w:hAnsi="Times New Roman" w:cs="Times New Roman"/>
          <w:sz w:val="26"/>
          <w:szCs w:val="26"/>
        </w:rPr>
        <w:t xml:space="preserve">не отражения </w:t>
      </w:r>
      <w:r>
        <w:rPr>
          <w:rFonts w:ascii="Times New Roman" w:hAnsi="Times New Roman" w:cs="Times New Roman"/>
          <w:sz w:val="26"/>
          <w:szCs w:val="26"/>
        </w:rPr>
        <w:t>в 2021 году</w:t>
      </w:r>
      <w:r w:rsidRPr="00FF3262">
        <w:rPr>
          <w:rFonts w:ascii="Times New Roman" w:hAnsi="Times New Roman" w:cs="Times New Roman"/>
          <w:sz w:val="26"/>
          <w:szCs w:val="26"/>
        </w:rPr>
        <w:t xml:space="preserve"> на </w:t>
      </w:r>
      <w:r w:rsidR="00462C52">
        <w:rPr>
          <w:rFonts w:ascii="Times New Roman" w:hAnsi="Times New Roman" w:cs="Times New Roman"/>
          <w:sz w:val="26"/>
          <w:szCs w:val="26"/>
        </w:rPr>
        <w:t>счета</w:t>
      </w:r>
      <w:r w:rsidR="00C22B68">
        <w:rPr>
          <w:rFonts w:ascii="Times New Roman" w:hAnsi="Times New Roman" w:cs="Times New Roman"/>
          <w:sz w:val="26"/>
          <w:szCs w:val="26"/>
        </w:rPr>
        <w:t>х</w:t>
      </w:r>
      <w:r w:rsidR="00A17334">
        <w:rPr>
          <w:rFonts w:ascii="Times New Roman" w:hAnsi="Times New Roman" w:cs="Times New Roman"/>
          <w:sz w:val="26"/>
          <w:szCs w:val="26"/>
        </w:rPr>
        <w:t xml:space="preserve"> </w:t>
      </w:r>
      <w:r w:rsidRPr="00FF3262">
        <w:rPr>
          <w:rFonts w:ascii="Times New Roman" w:hAnsi="Times New Roman" w:cs="Times New Roman"/>
          <w:sz w:val="26"/>
          <w:szCs w:val="26"/>
        </w:rPr>
        <w:t>бухгалтерск</w:t>
      </w:r>
      <w:r w:rsidR="00A17334">
        <w:rPr>
          <w:rFonts w:ascii="Times New Roman" w:hAnsi="Times New Roman" w:cs="Times New Roman"/>
          <w:sz w:val="26"/>
          <w:szCs w:val="26"/>
        </w:rPr>
        <w:t>ого</w:t>
      </w:r>
      <w:r w:rsidRPr="00FF3262">
        <w:rPr>
          <w:rFonts w:ascii="Times New Roman" w:hAnsi="Times New Roman" w:cs="Times New Roman"/>
          <w:sz w:val="26"/>
          <w:szCs w:val="26"/>
        </w:rPr>
        <w:t xml:space="preserve"> учет</w:t>
      </w:r>
      <w:r w:rsidR="00A17334">
        <w:rPr>
          <w:rFonts w:ascii="Times New Roman" w:hAnsi="Times New Roman" w:cs="Times New Roman"/>
          <w:sz w:val="26"/>
          <w:szCs w:val="26"/>
        </w:rPr>
        <w:t>а</w:t>
      </w:r>
      <w:r w:rsidRPr="00FF32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имущества</w:t>
      </w:r>
      <w:r w:rsidRPr="00FF3262">
        <w:rPr>
          <w:rFonts w:ascii="Times New Roman" w:hAnsi="Times New Roman" w:cs="Times New Roman"/>
          <w:sz w:val="26"/>
          <w:szCs w:val="26"/>
        </w:rPr>
        <w:t xml:space="preserve"> стоимостью -5000,0 </w:t>
      </w:r>
      <w:r w:rsidRPr="00FF3262">
        <w:rPr>
          <w:rFonts w:ascii="Times New Roman" w:hAnsi="Times New Roman" w:cs="Times New Roman"/>
          <w:sz w:val="26"/>
          <w:szCs w:val="26"/>
        </w:rPr>
        <w:lastRenderedPageBreak/>
        <w:t>тыс. рублей, что привело к искажению (занижению) данных строки 010 «Основные средства» Баланса</w:t>
      </w:r>
      <w:r w:rsidR="00C22B68">
        <w:rPr>
          <w:rFonts w:ascii="Times New Roman" w:hAnsi="Times New Roman" w:cs="Times New Roman"/>
          <w:sz w:val="26"/>
          <w:szCs w:val="26"/>
        </w:rPr>
        <w:t xml:space="preserve"> </w:t>
      </w:r>
      <w:r w:rsidRPr="00FF3262">
        <w:rPr>
          <w:rFonts w:ascii="Times New Roman" w:hAnsi="Times New Roman" w:cs="Times New Roman"/>
          <w:sz w:val="26"/>
          <w:szCs w:val="26"/>
        </w:rPr>
        <w:t>(ф.0503730) на 01.01.2022года</w:t>
      </w:r>
      <w:r>
        <w:rPr>
          <w:rFonts w:ascii="Times New Roman" w:hAnsi="Times New Roman" w:cs="Times New Roman"/>
          <w:sz w:val="26"/>
          <w:szCs w:val="26"/>
        </w:rPr>
        <w:t>, что может негативно повлиять на достоверность отчета об исполнении</w:t>
      </w:r>
      <w:r w:rsidR="00BD39E0">
        <w:rPr>
          <w:rFonts w:ascii="Times New Roman" w:hAnsi="Times New Roman" w:cs="Times New Roman"/>
          <w:sz w:val="26"/>
          <w:szCs w:val="26"/>
        </w:rPr>
        <w:t xml:space="preserve"> районного бюджета</w:t>
      </w:r>
      <w:r w:rsidRPr="00FF3262">
        <w:rPr>
          <w:rFonts w:ascii="Times New Roman" w:hAnsi="Times New Roman" w:cs="Times New Roman"/>
          <w:sz w:val="26"/>
          <w:szCs w:val="26"/>
        </w:rPr>
        <w:t>.</w:t>
      </w:r>
    </w:p>
    <w:p w:rsidR="00597BDF" w:rsidRPr="00E2223E" w:rsidRDefault="00597BDF" w:rsidP="00597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23E">
        <w:rPr>
          <w:rFonts w:ascii="Times New Roman" w:hAnsi="Times New Roman" w:cs="Times New Roman"/>
          <w:b/>
          <w:sz w:val="26"/>
          <w:szCs w:val="26"/>
        </w:rPr>
        <w:t>Расходы на реализацию региональных проектов</w:t>
      </w:r>
    </w:p>
    <w:p w:rsidR="00597BDF" w:rsidRPr="00E2223E" w:rsidRDefault="00597BDF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223E">
        <w:rPr>
          <w:rFonts w:ascii="Times New Roman" w:hAnsi="Times New Roman" w:cs="Times New Roman"/>
          <w:sz w:val="26"/>
          <w:szCs w:val="26"/>
        </w:rPr>
        <w:t xml:space="preserve">Расходы на реализацию </w:t>
      </w:r>
      <w:r w:rsidR="00D63BA1" w:rsidRPr="00E2223E">
        <w:rPr>
          <w:rFonts w:ascii="Times New Roman" w:hAnsi="Times New Roman" w:cs="Times New Roman"/>
          <w:sz w:val="26"/>
          <w:szCs w:val="26"/>
        </w:rPr>
        <w:t>5</w:t>
      </w:r>
      <w:r w:rsidRPr="00E2223E">
        <w:rPr>
          <w:rFonts w:ascii="Times New Roman" w:hAnsi="Times New Roman" w:cs="Times New Roman"/>
          <w:sz w:val="26"/>
          <w:szCs w:val="26"/>
        </w:rPr>
        <w:t>-ми региональных проектов в 202</w:t>
      </w:r>
      <w:r w:rsidR="008F3D19" w:rsidRPr="00E2223E">
        <w:rPr>
          <w:rFonts w:ascii="Times New Roman" w:hAnsi="Times New Roman" w:cs="Times New Roman"/>
          <w:sz w:val="26"/>
          <w:szCs w:val="26"/>
        </w:rPr>
        <w:t>1</w:t>
      </w:r>
      <w:r w:rsidRPr="00E2223E">
        <w:rPr>
          <w:rFonts w:ascii="Times New Roman" w:hAnsi="Times New Roman" w:cs="Times New Roman"/>
          <w:sz w:val="26"/>
          <w:szCs w:val="26"/>
        </w:rPr>
        <w:t xml:space="preserve"> году составили </w:t>
      </w:r>
      <w:r w:rsidR="00C61A00" w:rsidRPr="00E2223E">
        <w:rPr>
          <w:rFonts w:ascii="Times New Roman" w:hAnsi="Times New Roman" w:cs="Times New Roman"/>
          <w:sz w:val="26"/>
          <w:szCs w:val="26"/>
        </w:rPr>
        <w:t>21806,1</w:t>
      </w:r>
      <w:r w:rsidRPr="00E2223E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C61A00" w:rsidRPr="00E2223E">
        <w:rPr>
          <w:rFonts w:ascii="Times New Roman" w:hAnsi="Times New Roman" w:cs="Times New Roman"/>
          <w:sz w:val="26"/>
          <w:szCs w:val="26"/>
        </w:rPr>
        <w:t>99,9</w:t>
      </w:r>
      <w:r w:rsidRPr="00E2223E">
        <w:rPr>
          <w:rFonts w:ascii="Times New Roman" w:hAnsi="Times New Roman" w:cs="Times New Roman"/>
          <w:sz w:val="26"/>
          <w:szCs w:val="26"/>
        </w:rPr>
        <w:t>% от уточненных бюджетных назначений.</w:t>
      </w:r>
    </w:p>
    <w:p w:rsidR="00597BDF" w:rsidRPr="00E2223E" w:rsidRDefault="00597BDF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223E">
        <w:rPr>
          <w:rFonts w:ascii="Times New Roman" w:hAnsi="Times New Roman" w:cs="Times New Roman"/>
          <w:sz w:val="26"/>
          <w:szCs w:val="26"/>
        </w:rPr>
        <w:t>Информация об исполнении районного бюджета в рамках региональных проектов представлена в диаграмме</w:t>
      </w:r>
    </w:p>
    <w:p w:rsidR="00597BDF" w:rsidRPr="00597BDF" w:rsidRDefault="00597BDF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27FB58" wp14:editId="40E247A5">
            <wp:extent cx="5486400" cy="25241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7BDF" w:rsidRPr="00597BDF" w:rsidRDefault="00597BDF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BDF" w:rsidRPr="00E2223E" w:rsidRDefault="00597BDF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223E">
        <w:rPr>
          <w:rFonts w:ascii="Times New Roman" w:hAnsi="Times New Roman" w:cs="Times New Roman"/>
          <w:sz w:val="26"/>
          <w:szCs w:val="26"/>
        </w:rPr>
        <w:t xml:space="preserve">Наибольший объем расходов </w:t>
      </w:r>
      <w:r w:rsidR="00D63BA1" w:rsidRPr="00E2223E">
        <w:rPr>
          <w:rFonts w:ascii="Times New Roman" w:hAnsi="Times New Roman" w:cs="Times New Roman"/>
          <w:sz w:val="26"/>
          <w:szCs w:val="26"/>
        </w:rPr>
        <w:t>19828,9</w:t>
      </w:r>
      <w:r w:rsidRPr="00E2223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E2223E" w:rsidRPr="00E2223E">
        <w:rPr>
          <w:rFonts w:ascii="Times New Roman" w:hAnsi="Times New Roman" w:cs="Times New Roman"/>
          <w:sz w:val="26"/>
          <w:szCs w:val="26"/>
        </w:rPr>
        <w:t>90,9</w:t>
      </w:r>
      <w:r w:rsidRPr="00E2223E">
        <w:rPr>
          <w:rFonts w:ascii="Times New Roman" w:hAnsi="Times New Roman" w:cs="Times New Roman"/>
          <w:sz w:val="26"/>
          <w:szCs w:val="26"/>
        </w:rPr>
        <w:t>%) приходится на  реализацию  региональных проектов в рамках  3-х национальных проектов, в том числе :</w:t>
      </w:r>
    </w:p>
    <w:p w:rsidR="00597BDF" w:rsidRPr="00E2223E" w:rsidRDefault="00C22B68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НП «</w:t>
      </w:r>
      <w:r w:rsidR="00597BDF" w:rsidRPr="00E2223E">
        <w:rPr>
          <w:rFonts w:ascii="Times New Roman" w:hAnsi="Times New Roman" w:cs="Times New Roman"/>
          <w:sz w:val="26"/>
          <w:szCs w:val="26"/>
        </w:rPr>
        <w:t>Образование» -</w:t>
      </w:r>
      <w:r w:rsidR="00E2223E" w:rsidRPr="00E2223E">
        <w:rPr>
          <w:rFonts w:ascii="Times New Roman" w:hAnsi="Times New Roman" w:cs="Times New Roman"/>
          <w:sz w:val="26"/>
          <w:szCs w:val="26"/>
        </w:rPr>
        <w:t>4505,0</w:t>
      </w:r>
      <w:r w:rsidR="00597BDF" w:rsidRPr="00E2223E">
        <w:rPr>
          <w:rFonts w:ascii="Times New Roman" w:hAnsi="Times New Roman" w:cs="Times New Roman"/>
          <w:sz w:val="26"/>
          <w:szCs w:val="26"/>
        </w:rPr>
        <w:t xml:space="preserve"> тыс. рублей,</w:t>
      </w:r>
    </w:p>
    <w:p w:rsidR="00E2223E" w:rsidRPr="00E2223E" w:rsidRDefault="00597BDF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223E">
        <w:rPr>
          <w:rFonts w:ascii="Times New Roman" w:hAnsi="Times New Roman" w:cs="Times New Roman"/>
          <w:sz w:val="26"/>
          <w:szCs w:val="26"/>
        </w:rPr>
        <w:t xml:space="preserve">НП «Жилье и городская среда»- </w:t>
      </w:r>
      <w:r w:rsidR="00E2223E" w:rsidRPr="00E2223E">
        <w:rPr>
          <w:rFonts w:ascii="Times New Roman" w:hAnsi="Times New Roman" w:cs="Times New Roman"/>
          <w:sz w:val="26"/>
          <w:szCs w:val="26"/>
        </w:rPr>
        <w:t>10000,0</w:t>
      </w:r>
      <w:r w:rsidRPr="00E2223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E2223E" w:rsidRPr="00E2223E">
        <w:rPr>
          <w:rFonts w:ascii="Times New Roman" w:hAnsi="Times New Roman" w:cs="Times New Roman"/>
          <w:sz w:val="26"/>
          <w:szCs w:val="26"/>
        </w:rPr>
        <w:t>;</w:t>
      </w:r>
    </w:p>
    <w:p w:rsidR="00597BDF" w:rsidRPr="00597BDF" w:rsidRDefault="00E2223E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3E">
        <w:rPr>
          <w:rFonts w:ascii="Times New Roman" w:hAnsi="Times New Roman" w:cs="Times New Roman"/>
          <w:sz w:val="26"/>
          <w:szCs w:val="26"/>
        </w:rPr>
        <w:t>НП «Цифровая экономика» -5328,9 тыс. рублей</w:t>
      </w:r>
      <w:r w:rsidR="00597BDF" w:rsidRPr="00597B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BDF" w:rsidRPr="00E2223E" w:rsidRDefault="00597BDF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223E">
        <w:rPr>
          <w:rFonts w:ascii="Times New Roman" w:hAnsi="Times New Roman" w:cs="Times New Roman"/>
          <w:sz w:val="26"/>
          <w:szCs w:val="26"/>
        </w:rPr>
        <w:t>Наименьший объем расходов приходится на реализацию региональных проектов в рам</w:t>
      </w:r>
      <w:r w:rsidR="00C22B68">
        <w:rPr>
          <w:rFonts w:ascii="Times New Roman" w:hAnsi="Times New Roman" w:cs="Times New Roman"/>
          <w:sz w:val="26"/>
          <w:szCs w:val="26"/>
        </w:rPr>
        <w:t>ках национальных проектов</w:t>
      </w:r>
      <w:r w:rsidRPr="00E2223E">
        <w:rPr>
          <w:rFonts w:ascii="Times New Roman" w:hAnsi="Times New Roman" w:cs="Times New Roman"/>
          <w:sz w:val="26"/>
          <w:szCs w:val="26"/>
        </w:rPr>
        <w:t>:</w:t>
      </w:r>
      <w:r w:rsidR="00C22B68">
        <w:rPr>
          <w:rFonts w:ascii="Times New Roman" w:hAnsi="Times New Roman" w:cs="Times New Roman"/>
          <w:sz w:val="26"/>
          <w:szCs w:val="26"/>
        </w:rPr>
        <w:t xml:space="preserve"> </w:t>
      </w:r>
      <w:r w:rsidRPr="00E2223E">
        <w:rPr>
          <w:rFonts w:ascii="Times New Roman" w:hAnsi="Times New Roman" w:cs="Times New Roman"/>
          <w:sz w:val="26"/>
          <w:szCs w:val="26"/>
        </w:rPr>
        <w:t>НП «Безопасные и качественные дороги»-</w:t>
      </w:r>
      <w:r w:rsidR="00E2223E" w:rsidRPr="00E2223E">
        <w:rPr>
          <w:rFonts w:ascii="Times New Roman" w:hAnsi="Times New Roman" w:cs="Times New Roman"/>
          <w:sz w:val="26"/>
          <w:szCs w:val="26"/>
        </w:rPr>
        <w:t>1192,3</w:t>
      </w:r>
      <w:r w:rsidRPr="00E2223E">
        <w:rPr>
          <w:rFonts w:ascii="Times New Roman" w:hAnsi="Times New Roman" w:cs="Times New Roman"/>
          <w:sz w:val="26"/>
          <w:szCs w:val="26"/>
        </w:rPr>
        <w:t xml:space="preserve"> тыс. рублей, НП «</w:t>
      </w:r>
      <w:r w:rsidR="00E2223E" w:rsidRPr="00E2223E">
        <w:rPr>
          <w:rFonts w:ascii="Times New Roman" w:hAnsi="Times New Roman" w:cs="Times New Roman"/>
          <w:sz w:val="26"/>
          <w:szCs w:val="26"/>
        </w:rPr>
        <w:t>Культура</w:t>
      </w:r>
      <w:r w:rsidRPr="00E2223E">
        <w:rPr>
          <w:rFonts w:ascii="Times New Roman" w:hAnsi="Times New Roman" w:cs="Times New Roman"/>
          <w:sz w:val="26"/>
          <w:szCs w:val="26"/>
        </w:rPr>
        <w:t>»-</w:t>
      </w:r>
      <w:r w:rsidR="00E2223E" w:rsidRPr="00E2223E">
        <w:rPr>
          <w:rFonts w:ascii="Times New Roman" w:hAnsi="Times New Roman" w:cs="Times New Roman"/>
          <w:sz w:val="26"/>
          <w:szCs w:val="26"/>
        </w:rPr>
        <w:t>784,9</w:t>
      </w:r>
      <w:r w:rsidRPr="00E2223E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597BDF" w:rsidRPr="00E2223E" w:rsidRDefault="00597BDF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223E">
        <w:rPr>
          <w:rFonts w:ascii="Times New Roman" w:hAnsi="Times New Roman" w:cs="Times New Roman"/>
          <w:sz w:val="26"/>
          <w:szCs w:val="26"/>
        </w:rPr>
        <w:t>Информация о бюджетных ассигнованиях на реализацию региональных проектов в рамках национальных проектов представлена в таблице</w:t>
      </w:r>
      <w:r w:rsidR="00E2223E" w:rsidRPr="00E2223E">
        <w:rPr>
          <w:rFonts w:ascii="Times New Roman" w:hAnsi="Times New Roman" w:cs="Times New Roman"/>
          <w:sz w:val="26"/>
          <w:szCs w:val="26"/>
        </w:rPr>
        <w:t>:</w:t>
      </w:r>
    </w:p>
    <w:p w:rsidR="00597BDF" w:rsidRPr="00E2223E" w:rsidRDefault="00597BDF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3674"/>
        <w:gridCol w:w="1601"/>
        <w:gridCol w:w="1601"/>
        <w:gridCol w:w="1601"/>
      </w:tblGrid>
      <w:tr w:rsidR="00597BDF" w:rsidRPr="00597BDF" w:rsidTr="00CF71DE">
        <w:tc>
          <w:tcPr>
            <w:tcW w:w="562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  <w:r w:rsidRPr="00597BDF">
              <w:t>№ п/п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  <w:r w:rsidRPr="00597BDF">
              <w:t>Код НП</w:t>
            </w:r>
          </w:p>
        </w:tc>
        <w:tc>
          <w:tcPr>
            <w:tcW w:w="3674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  <w:r w:rsidRPr="00597BDF">
              <w:t>Наименование национального проекта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  <w:r w:rsidRPr="00597BDF">
              <w:t>Исполнение по состоянию на 31.12.2020г.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  <w:r w:rsidRPr="00597BDF">
              <w:t>Неисполненные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  <w:r w:rsidRPr="00597BDF">
              <w:t>Уровень исполнения %</w:t>
            </w:r>
          </w:p>
        </w:tc>
      </w:tr>
      <w:tr w:rsidR="00597BDF" w:rsidRPr="00597BDF" w:rsidTr="00CF71DE">
        <w:tc>
          <w:tcPr>
            <w:tcW w:w="562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  <w:r w:rsidRPr="00597BDF">
              <w:t>1.</w:t>
            </w:r>
          </w:p>
        </w:tc>
        <w:tc>
          <w:tcPr>
            <w:tcW w:w="567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97BDF">
              <w:rPr>
                <w:lang w:val="en-US"/>
              </w:rPr>
              <w:t>R</w:t>
            </w:r>
          </w:p>
        </w:tc>
        <w:tc>
          <w:tcPr>
            <w:tcW w:w="3674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  <w:r w:rsidRPr="00597BDF">
              <w:t>Безопасные и качественные дороги</w:t>
            </w:r>
          </w:p>
        </w:tc>
        <w:tc>
          <w:tcPr>
            <w:tcW w:w="1601" w:type="dxa"/>
          </w:tcPr>
          <w:p w:rsidR="00597BDF" w:rsidRPr="00597BDF" w:rsidRDefault="00C61A00" w:rsidP="00597BDF">
            <w:pPr>
              <w:autoSpaceDE w:val="0"/>
              <w:autoSpaceDN w:val="0"/>
              <w:adjustRightInd w:val="0"/>
              <w:jc w:val="both"/>
            </w:pPr>
            <w:r>
              <w:t>1192,3</w:t>
            </w:r>
          </w:p>
        </w:tc>
        <w:tc>
          <w:tcPr>
            <w:tcW w:w="1601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1" w:type="dxa"/>
          </w:tcPr>
          <w:p w:rsidR="00597BDF" w:rsidRPr="00597BDF" w:rsidRDefault="00C61A00" w:rsidP="00597BDF">
            <w:pPr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</w:tr>
      <w:tr w:rsidR="00597BDF" w:rsidRPr="00597BDF" w:rsidTr="00CF71DE">
        <w:tc>
          <w:tcPr>
            <w:tcW w:w="562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  <w:r w:rsidRPr="00597BDF">
              <w:t>2.</w:t>
            </w:r>
          </w:p>
        </w:tc>
        <w:tc>
          <w:tcPr>
            <w:tcW w:w="567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97BDF">
              <w:rPr>
                <w:lang w:val="en-US"/>
              </w:rPr>
              <w:t>D</w:t>
            </w:r>
          </w:p>
        </w:tc>
        <w:tc>
          <w:tcPr>
            <w:tcW w:w="3674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  <w:r w:rsidRPr="00597BDF">
              <w:t>Цифровая экономика</w:t>
            </w:r>
          </w:p>
        </w:tc>
        <w:tc>
          <w:tcPr>
            <w:tcW w:w="1601" w:type="dxa"/>
          </w:tcPr>
          <w:p w:rsidR="00597BDF" w:rsidRPr="00597BDF" w:rsidRDefault="00D63BA1" w:rsidP="00597BDF">
            <w:pPr>
              <w:autoSpaceDE w:val="0"/>
              <w:autoSpaceDN w:val="0"/>
              <w:adjustRightInd w:val="0"/>
              <w:jc w:val="both"/>
            </w:pPr>
            <w:r>
              <w:t>5328,9</w:t>
            </w:r>
          </w:p>
        </w:tc>
        <w:tc>
          <w:tcPr>
            <w:tcW w:w="1601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1" w:type="dxa"/>
          </w:tcPr>
          <w:p w:rsidR="00597BDF" w:rsidRPr="00597BDF" w:rsidRDefault="00D63BA1" w:rsidP="00597BDF">
            <w:pPr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</w:tr>
      <w:tr w:rsidR="00597BDF" w:rsidRPr="00597BDF" w:rsidTr="00CF71DE">
        <w:tc>
          <w:tcPr>
            <w:tcW w:w="562" w:type="dxa"/>
          </w:tcPr>
          <w:p w:rsidR="00597BDF" w:rsidRPr="00597BDF" w:rsidRDefault="00D63BA1" w:rsidP="00597BDF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7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97BDF">
              <w:rPr>
                <w:lang w:val="en-US"/>
              </w:rPr>
              <w:t>F</w:t>
            </w:r>
          </w:p>
        </w:tc>
        <w:tc>
          <w:tcPr>
            <w:tcW w:w="3674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  <w:r w:rsidRPr="00597BDF">
              <w:t xml:space="preserve">Жилье и городская среда </w:t>
            </w:r>
          </w:p>
        </w:tc>
        <w:tc>
          <w:tcPr>
            <w:tcW w:w="1601" w:type="dxa"/>
          </w:tcPr>
          <w:p w:rsidR="00597BDF" w:rsidRPr="00597BDF" w:rsidRDefault="00D63BA1" w:rsidP="00597BDF">
            <w:pPr>
              <w:autoSpaceDE w:val="0"/>
              <w:autoSpaceDN w:val="0"/>
              <w:adjustRightInd w:val="0"/>
              <w:jc w:val="both"/>
            </w:pPr>
            <w:r>
              <w:t>10000,0</w:t>
            </w:r>
          </w:p>
        </w:tc>
        <w:tc>
          <w:tcPr>
            <w:tcW w:w="1601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1" w:type="dxa"/>
          </w:tcPr>
          <w:p w:rsidR="00597BDF" w:rsidRPr="00597BDF" w:rsidRDefault="00D63BA1" w:rsidP="00597BDF">
            <w:pPr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</w:tr>
      <w:tr w:rsidR="00597BDF" w:rsidRPr="00597BDF" w:rsidTr="00CF71DE">
        <w:tc>
          <w:tcPr>
            <w:tcW w:w="562" w:type="dxa"/>
          </w:tcPr>
          <w:p w:rsidR="00597BDF" w:rsidRPr="00597BDF" w:rsidRDefault="00D63BA1" w:rsidP="00597BD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="00597BDF" w:rsidRPr="00597BDF">
              <w:t>.</w:t>
            </w:r>
          </w:p>
        </w:tc>
        <w:tc>
          <w:tcPr>
            <w:tcW w:w="567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97BDF">
              <w:rPr>
                <w:lang w:val="en-US"/>
              </w:rPr>
              <w:t>E</w:t>
            </w:r>
          </w:p>
        </w:tc>
        <w:tc>
          <w:tcPr>
            <w:tcW w:w="3674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  <w:r w:rsidRPr="00597BDF">
              <w:t>Образование</w:t>
            </w:r>
          </w:p>
        </w:tc>
        <w:tc>
          <w:tcPr>
            <w:tcW w:w="1601" w:type="dxa"/>
          </w:tcPr>
          <w:p w:rsidR="00597BDF" w:rsidRPr="00597BDF" w:rsidRDefault="00D63BA1" w:rsidP="00597BDF">
            <w:pPr>
              <w:autoSpaceDE w:val="0"/>
              <w:autoSpaceDN w:val="0"/>
              <w:adjustRightInd w:val="0"/>
              <w:jc w:val="both"/>
            </w:pPr>
            <w:r>
              <w:t>4505,0</w:t>
            </w:r>
          </w:p>
        </w:tc>
        <w:tc>
          <w:tcPr>
            <w:tcW w:w="1601" w:type="dxa"/>
          </w:tcPr>
          <w:p w:rsidR="00597BDF" w:rsidRPr="00597BDF" w:rsidRDefault="00D63BA1" w:rsidP="00597BDF">
            <w:pPr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601" w:type="dxa"/>
          </w:tcPr>
          <w:p w:rsidR="00597BDF" w:rsidRPr="00597BDF" w:rsidRDefault="00D63BA1" w:rsidP="00597BDF">
            <w:pPr>
              <w:autoSpaceDE w:val="0"/>
              <w:autoSpaceDN w:val="0"/>
              <w:adjustRightInd w:val="0"/>
              <w:jc w:val="both"/>
            </w:pPr>
            <w:r>
              <w:t>99,9</w:t>
            </w:r>
          </w:p>
        </w:tc>
      </w:tr>
      <w:tr w:rsidR="00597BDF" w:rsidRPr="00597BDF" w:rsidTr="00CF71DE">
        <w:tc>
          <w:tcPr>
            <w:tcW w:w="562" w:type="dxa"/>
          </w:tcPr>
          <w:p w:rsidR="00597BDF" w:rsidRPr="00597BDF" w:rsidRDefault="00D63BA1" w:rsidP="00597BDF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597BDF" w:rsidRPr="00597BDF">
              <w:t>.</w:t>
            </w:r>
          </w:p>
        </w:tc>
        <w:tc>
          <w:tcPr>
            <w:tcW w:w="567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97BDF">
              <w:rPr>
                <w:lang w:val="en-US"/>
              </w:rPr>
              <w:t>A</w:t>
            </w:r>
          </w:p>
        </w:tc>
        <w:tc>
          <w:tcPr>
            <w:tcW w:w="3674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  <w:r w:rsidRPr="00597BDF">
              <w:t>Культура</w:t>
            </w:r>
          </w:p>
        </w:tc>
        <w:tc>
          <w:tcPr>
            <w:tcW w:w="1601" w:type="dxa"/>
          </w:tcPr>
          <w:p w:rsidR="00597BDF" w:rsidRPr="00597BDF" w:rsidRDefault="00D63BA1" w:rsidP="00597BDF">
            <w:pPr>
              <w:autoSpaceDE w:val="0"/>
              <w:autoSpaceDN w:val="0"/>
              <w:adjustRightInd w:val="0"/>
              <w:jc w:val="both"/>
            </w:pPr>
            <w:r>
              <w:t>784,9</w:t>
            </w:r>
          </w:p>
        </w:tc>
        <w:tc>
          <w:tcPr>
            <w:tcW w:w="1601" w:type="dxa"/>
          </w:tcPr>
          <w:p w:rsidR="00597BDF" w:rsidRPr="00597BDF" w:rsidRDefault="00597BDF" w:rsidP="00597B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1" w:type="dxa"/>
          </w:tcPr>
          <w:p w:rsidR="00597BDF" w:rsidRPr="00597BDF" w:rsidRDefault="00D63BA1" w:rsidP="00597BDF">
            <w:pPr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</w:tr>
    </w:tbl>
    <w:p w:rsidR="00597BDF" w:rsidRDefault="00597BDF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7F2A" w:rsidRDefault="00A97F2A" w:rsidP="00597BD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7F2A" w:rsidRDefault="00A97F2A" w:rsidP="00597BD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7BDF" w:rsidRPr="000456A2" w:rsidRDefault="00597BDF" w:rsidP="00597BD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муниципальных программ</w:t>
      </w:r>
    </w:p>
    <w:p w:rsidR="00597BDF" w:rsidRPr="000456A2" w:rsidRDefault="00597BDF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районном бюджете на 202</w:t>
      </w:r>
      <w:r w:rsidR="000E2454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предусматривались бюджетные ассигнования на реализацию 1</w:t>
      </w:r>
      <w:r w:rsid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программ на общую сумму </w:t>
      </w:r>
      <w:r w:rsid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>1120908,1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Расходы на реализацию муниципальных программ в 202</w:t>
      </w:r>
      <w:r w:rsid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составили </w:t>
      </w:r>
      <w:r w:rsid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>1088011,9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>97,0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уточненных бюджетных назначений.</w:t>
      </w:r>
    </w:p>
    <w:p w:rsidR="00597BDF" w:rsidRPr="000456A2" w:rsidRDefault="00597BDF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отчетном году по сравнению с </w:t>
      </w:r>
      <w:r w:rsid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годом доля программных расходов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объеме расходов районного бюджета </w:t>
      </w:r>
      <w:r w:rsid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 на 0,4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процентных пункта и составила </w:t>
      </w:r>
      <w:r w:rsid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>84,2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97BDF" w:rsidRPr="000456A2" w:rsidRDefault="00597BDF" w:rsidP="0059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 муниципальных программ представлено в таблице</w:t>
      </w:r>
    </w:p>
    <w:p w:rsidR="00597BDF" w:rsidRPr="00597BDF" w:rsidRDefault="00597BDF" w:rsidP="0059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DF" w:rsidRPr="00597BDF" w:rsidRDefault="00597BDF" w:rsidP="00597BDF">
      <w:pPr>
        <w:spacing w:after="0" w:line="240" w:lineRule="auto"/>
        <w:ind w:left="7079" w:firstLine="709"/>
        <w:jc w:val="right"/>
        <w:rPr>
          <w:rFonts w:ascii="Times New Roman" w:eastAsia="Calibri" w:hAnsi="Times New Roman" w:cs="Times New Roman"/>
        </w:rPr>
      </w:pPr>
      <w:r w:rsidRPr="00597BDF">
        <w:rPr>
          <w:rFonts w:ascii="Times New Roman" w:eastAsia="Calibri" w:hAnsi="Times New Roman" w:cs="Times New Roman"/>
        </w:rPr>
        <w:t xml:space="preserve">(тыс.рублей) 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1"/>
        <w:gridCol w:w="1643"/>
        <w:gridCol w:w="1701"/>
        <w:gridCol w:w="2268"/>
      </w:tblGrid>
      <w:tr w:rsidR="00597BDF" w:rsidRPr="00597BDF" w:rsidTr="00544CCA">
        <w:trPr>
          <w:trHeight w:val="2607"/>
          <w:tblHeader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муниципальной программы </w:t>
            </w:r>
          </w:p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7BDF" w:rsidRPr="00597BDF" w:rsidRDefault="00597BDF" w:rsidP="000E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Бюджет 202</w:t>
            </w:r>
            <w:r w:rsidR="000E24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7BDF" w:rsidRPr="00597BDF" w:rsidRDefault="00597BDF" w:rsidP="000E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Отчет 202</w:t>
            </w:r>
            <w:r w:rsidR="000E24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% исполнения  </w:t>
            </w:r>
          </w:p>
        </w:tc>
      </w:tr>
      <w:tr w:rsidR="00597BDF" w:rsidRPr="00597BDF" w:rsidTr="00544CCA">
        <w:trPr>
          <w:trHeight w:val="57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«Развитие образования Балахтинского района»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3A6EC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667717,9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3A6EC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652996,0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C3" w:rsidRDefault="003A6EC3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BDF" w:rsidRPr="00597BDF" w:rsidRDefault="003A6EC3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3A6EC3" w:rsidRPr="00597BDF" w:rsidTr="00544CCA">
        <w:trPr>
          <w:trHeight w:val="57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EC3" w:rsidRPr="00597BDF" w:rsidRDefault="003A6EC3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EC3" w:rsidRDefault="003A6EC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EC3" w:rsidRDefault="003A6EC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3367,8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C3" w:rsidRDefault="003A6EC3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EC3" w:rsidRDefault="003A6EC3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EC3" w:rsidRDefault="003A6EC3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EC3" w:rsidRDefault="003A6EC3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7BDF" w:rsidRPr="00597BDF" w:rsidTr="00544CCA">
        <w:trPr>
          <w:trHeight w:val="43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«Развитие культуры»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3A6EC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142166,5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3A6EC3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141762,5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E91AFF" w:rsidP="003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597BDF" w:rsidRPr="00597BDF" w:rsidTr="00645952">
        <w:trPr>
          <w:trHeight w:val="52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645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45952">
              <w:rPr>
                <w:rFonts w:ascii="Times New Roman" w:eastAsia="Times New Roman" w:hAnsi="Times New Roman" w:cs="Times New Roman"/>
                <w:lang w:eastAsia="ru-RU"/>
              </w:rPr>
              <w:t>Укрепление общественного здоровья на территории Балахтинского района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42301,2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25301,2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6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</w:tr>
      <w:tr w:rsidR="00597BDF" w:rsidRPr="00597BDF" w:rsidTr="00544CCA">
        <w:trPr>
          <w:trHeight w:val="51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«Молодежь Балахтинского района в ХХ! веке»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7825,3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6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7BDF" w:rsidRPr="00597BDF" w:rsidTr="00544CCA">
        <w:trPr>
          <w:trHeight w:val="77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в Балахтинском районе»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4701,8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6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</w:tr>
      <w:tr w:rsidR="00597BDF" w:rsidRPr="00597BDF" w:rsidTr="00544CCA">
        <w:trPr>
          <w:trHeight w:val="61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«Управление муниципальной собственностью Балахтинского района»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2637,4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6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597BDF" w:rsidRPr="00597BDF" w:rsidTr="00544CCA">
        <w:trPr>
          <w:trHeight w:val="108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«Реформирование и модернизация  жилищно-коммунального хозяйства и повышение энергетической эффективности»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34482,7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30536,7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6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597BDF" w:rsidRPr="00597BDF" w:rsidTr="00645952">
        <w:trPr>
          <w:trHeight w:val="47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«Поддержка транспортной отрасли Балахтинского района»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52126,0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52125,4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6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7BDF" w:rsidRPr="00597BDF" w:rsidTr="00544CCA">
        <w:trPr>
          <w:trHeight w:val="86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 xml:space="preserve">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6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7BDF" w:rsidRPr="00597BDF" w:rsidTr="00645952">
        <w:trPr>
          <w:trHeight w:val="79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645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15165,9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11003,0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6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597BDF" w:rsidRPr="00597BDF" w:rsidTr="00544CCA">
        <w:trPr>
          <w:trHeight w:val="55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«Управление муниципальными финансами»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154945,3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154902,3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6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597BDF" w:rsidRPr="00597BDF" w:rsidTr="00544CCA">
        <w:trPr>
          <w:trHeight w:val="77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«Профилактика правонарушений . терроризма и экстремизма на территории Балахтинского района»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6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7BDF" w:rsidRPr="00597BDF" w:rsidTr="00544CCA">
        <w:trPr>
          <w:trHeight w:val="55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45952">
              <w:rPr>
                <w:rFonts w:ascii="Times New Roman" w:eastAsia="Times New Roman" w:hAnsi="Times New Roman" w:cs="Times New Roman"/>
                <w:lang w:eastAsia="ru-RU"/>
              </w:rPr>
              <w:t xml:space="preserve"> Мы-</w:t>
            </w: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Вместе»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6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5952" w:rsidRPr="00597BDF" w:rsidTr="00544CCA">
        <w:trPr>
          <w:trHeight w:val="55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52" w:rsidRPr="00597BDF" w:rsidRDefault="00645952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 Вместе»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52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52" w:rsidRDefault="0064595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52" w:rsidRPr="00597BDF" w:rsidRDefault="00645952" w:rsidP="006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7BDF" w:rsidRPr="00597BDF" w:rsidTr="00544CCA">
        <w:trPr>
          <w:trHeight w:val="30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136F88" w:rsidP="0013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1120908,1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136F88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1088011,9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136F88" w:rsidP="0013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597BDF" w:rsidRPr="00597BDF" w:rsidTr="00544CCA">
        <w:trPr>
          <w:trHeight w:val="30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расходы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0456A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209621,8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0456A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199555,2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0456A2" w:rsidP="0004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597BDF" w:rsidRPr="00597BDF" w:rsidTr="00544CCA">
        <w:trPr>
          <w:trHeight w:val="30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bCs/>
                <w:lang w:eastAsia="ru-RU"/>
              </w:rPr>
              <w:t>Доля программных расходов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0456A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0456A2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97BDF" w:rsidRPr="00597BDF" w:rsidRDefault="00597BDF" w:rsidP="00597BDF">
      <w:pPr>
        <w:tabs>
          <w:tab w:val="left" w:pos="6300"/>
        </w:tabs>
        <w:spacing w:after="0" w:line="240" w:lineRule="auto"/>
        <w:ind w:right="256"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97BDF" w:rsidRPr="00597BDF" w:rsidRDefault="00597BDF" w:rsidP="00597BDF">
      <w:pPr>
        <w:tabs>
          <w:tab w:val="left" w:pos="6300"/>
        </w:tabs>
        <w:spacing w:after="0" w:line="240" w:lineRule="auto"/>
        <w:ind w:right="256"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97BDF" w:rsidRPr="000456A2" w:rsidRDefault="00597BDF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B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0456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Анализируя, данные таблицы отмечается высокий процент выполнения по всем муниципальным программам (от 97,7% до 100,0%), за исключением муниципальной программы 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456A2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общественного здоровья на территории Балахтинского района»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456A2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59,8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97BDF" w:rsidRPr="000456A2" w:rsidRDefault="002C1CA2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97BDF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Непрограммные расходы составили </w:t>
      </w:r>
      <w:r w:rsidR="000456A2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199555,2</w:t>
      </w:r>
      <w:r w:rsidR="00597BDF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0456A2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95,1</w:t>
      </w:r>
      <w:r w:rsidR="00597BDF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уточненных бюджетных назначений.</w:t>
      </w:r>
    </w:p>
    <w:p w:rsidR="00597BDF" w:rsidRPr="000456A2" w:rsidRDefault="002C1CA2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97BDF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году по сравнению с 20</w:t>
      </w:r>
      <w:r w:rsidR="000456A2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97BDF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доля непрограммных расходов в общем объеме расходов районного бюджета </w:t>
      </w:r>
      <w:r w:rsidR="000456A2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уменьшилась</w:t>
      </w:r>
      <w:r w:rsidR="00597BDF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456A2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0,7</w:t>
      </w:r>
      <w:r w:rsidR="00597BDF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процентных пункта и составила </w:t>
      </w:r>
      <w:r w:rsidR="000456A2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15,5</w:t>
      </w:r>
      <w:r w:rsidR="00597BDF"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97BDF" w:rsidRPr="006F4C40" w:rsidRDefault="00597BDF" w:rsidP="00597BDF">
      <w:pPr>
        <w:spacing w:line="23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C40">
        <w:rPr>
          <w:rFonts w:ascii="Times New Roman" w:eastAsia="Calibri" w:hAnsi="Times New Roman" w:cs="Times New Roman"/>
          <w:sz w:val="26"/>
          <w:szCs w:val="26"/>
        </w:rPr>
        <w:t>Сведения об исполнении расходов по видам расходов представлены в следующей таблице.</w:t>
      </w:r>
      <w:r w:rsidRPr="006F4C40"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681"/>
        <w:gridCol w:w="1351"/>
        <w:gridCol w:w="1276"/>
        <w:gridCol w:w="1185"/>
        <w:gridCol w:w="1497"/>
      </w:tblGrid>
      <w:tr w:rsidR="00597BDF" w:rsidRPr="00597BDF" w:rsidTr="00CF71DE">
        <w:trPr>
          <w:trHeight w:val="1519"/>
        </w:trPr>
        <w:tc>
          <w:tcPr>
            <w:tcW w:w="3917" w:type="dxa"/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color w:val="000000"/>
              </w:rPr>
              <w:t>КВР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bCs/>
              </w:rPr>
              <w:t>Уточненные бюджетные ассигнования по бюджетной росписи         (тыс. руб.)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7BDF" w:rsidRPr="00597BDF" w:rsidRDefault="00597BDF" w:rsidP="00597B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bCs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color w:val="000000"/>
              </w:rPr>
              <w:t>Испол. в (%)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color w:val="000000"/>
              </w:rPr>
              <w:t>Структура,</w:t>
            </w:r>
          </w:p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color w:val="000000"/>
              </w:rPr>
              <w:t xml:space="preserve">% </w:t>
            </w:r>
          </w:p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color w:val="000000"/>
              </w:rPr>
              <w:t>к общему итогу</w:t>
            </w:r>
          </w:p>
        </w:tc>
      </w:tr>
      <w:tr w:rsidR="00597BDF" w:rsidRPr="00597BDF" w:rsidTr="00CF71DE">
        <w:trPr>
          <w:trHeight w:val="435"/>
        </w:trPr>
        <w:tc>
          <w:tcPr>
            <w:tcW w:w="3917" w:type="dxa"/>
            <w:shd w:val="clear" w:color="auto" w:fill="auto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color w:val="000000"/>
              </w:rPr>
              <w:t xml:space="preserve">А </w:t>
            </w:r>
          </w:p>
        </w:tc>
        <w:tc>
          <w:tcPr>
            <w:tcW w:w="681" w:type="dxa"/>
            <w:shd w:val="clear" w:color="auto" w:fill="auto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color w:val="000000"/>
              </w:rPr>
              <w:t>Б</w:t>
            </w:r>
          </w:p>
        </w:tc>
        <w:tc>
          <w:tcPr>
            <w:tcW w:w="1351" w:type="dxa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6" w:type="dxa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BD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597BDF" w:rsidRPr="00597BDF" w:rsidTr="005C1FBC">
        <w:trPr>
          <w:trHeight w:val="1291"/>
        </w:trPr>
        <w:tc>
          <w:tcPr>
            <w:tcW w:w="3917" w:type="dxa"/>
            <w:shd w:val="clear" w:color="auto" w:fill="auto"/>
          </w:tcPr>
          <w:p w:rsidR="00597BDF" w:rsidRPr="00597BDF" w:rsidRDefault="00597BDF" w:rsidP="00597BDF">
            <w:pPr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мун. органами, казенными учреж., органами управления гос. внебюдже</w:t>
            </w:r>
            <w:r w:rsidR="00EB4C8C">
              <w:rPr>
                <w:rFonts w:ascii="Times New Roman" w:hAnsi="Times New Roman" w:cs="Times New Roman"/>
              </w:rPr>
              <w:t>тными</w:t>
            </w:r>
            <w:r w:rsidRPr="00597BDF">
              <w:rPr>
                <w:rFonts w:ascii="Times New Roman" w:hAnsi="Times New Roman" w:cs="Times New Roman"/>
              </w:rPr>
              <w:t>. фондами</w:t>
            </w:r>
          </w:p>
        </w:tc>
        <w:tc>
          <w:tcPr>
            <w:tcW w:w="681" w:type="dxa"/>
            <w:shd w:val="clear" w:color="auto" w:fill="auto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</w:tcPr>
          <w:p w:rsidR="00597BDF" w:rsidRPr="00597BDF" w:rsidRDefault="00DB405D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118459,7</w:t>
            </w:r>
          </w:p>
        </w:tc>
        <w:tc>
          <w:tcPr>
            <w:tcW w:w="1276" w:type="dxa"/>
          </w:tcPr>
          <w:p w:rsidR="00597BDF" w:rsidRPr="00597BDF" w:rsidRDefault="00DB405D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117439,1</w:t>
            </w:r>
          </w:p>
        </w:tc>
        <w:tc>
          <w:tcPr>
            <w:tcW w:w="1185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497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597BDF" w:rsidRPr="00597BDF" w:rsidTr="00CF71DE">
        <w:trPr>
          <w:trHeight w:val="559"/>
        </w:trPr>
        <w:tc>
          <w:tcPr>
            <w:tcW w:w="3917" w:type="dxa"/>
            <w:shd w:val="clear" w:color="auto" w:fill="auto"/>
          </w:tcPr>
          <w:p w:rsidR="00597BDF" w:rsidRPr="00597BDF" w:rsidRDefault="00597BDF" w:rsidP="00597BDF">
            <w:pPr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81" w:type="dxa"/>
            <w:shd w:val="clear" w:color="auto" w:fill="auto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</w:tcPr>
          <w:p w:rsidR="00597BDF" w:rsidRPr="00597BDF" w:rsidRDefault="005C1FBC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78003,7</w:t>
            </w:r>
          </w:p>
        </w:tc>
        <w:tc>
          <w:tcPr>
            <w:tcW w:w="1276" w:type="dxa"/>
          </w:tcPr>
          <w:p w:rsidR="00597BDF" w:rsidRPr="00597BDF" w:rsidRDefault="005C1FBC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70823,8</w:t>
            </w:r>
          </w:p>
        </w:tc>
        <w:tc>
          <w:tcPr>
            <w:tcW w:w="1185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497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597BDF" w:rsidRPr="00597BDF" w:rsidTr="00CF71DE">
        <w:trPr>
          <w:trHeight w:val="423"/>
        </w:trPr>
        <w:tc>
          <w:tcPr>
            <w:tcW w:w="3917" w:type="dxa"/>
            <w:shd w:val="clear" w:color="auto" w:fill="auto"/>
          </w:tcPr>
          <w:p w:rsidR="00597BDF" w:rsidRPr="00597BDF" w:rsidRDefault="00597BDF" w:rsidP="00597BDF">
            <w:pPr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shd w:val="clear" w:color="auto" w:fill="auto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</w:tcPr>
          <w:p w:rsidR="00597BDF" w:rsidRPr="00597BDF" w:rsidRDefault="005C1FBC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6078,8</w:t>
            </w:r>
          </w:p>
        </w:tc>
        <w:tc>
          <w:tcPr>
            <w:tcW w:w="1276" w:type="dxa"/>
          </w:tcPr>
          <w:p w:rsidR="00597BDF" w:rsidRPr="00597BDF" w:rsidRDefault="005C1FBC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5770,3</w:t>
            </w:r>
          </w:p>
        </w:tc>
        <w:tc>
          <w:tcPr>
            <w:tcW w:w="1185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1497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97BDF" w:rsidRPr="00597BDF" w:rsidTr="00CF71DE">
        <w:trPr>
          <w:trHeight w:val="967"/>
        </w:trPr>
        <w:tc>
          <w:tcPr>
            <w:tcW w:w="3917" w:type="dxa"/>
            <w:shd w:val="clear" w:color="auto" w:fill="auto"/>
          </w:tcPr>
          <w:p w:rsidR="00597BDF" w:rsidRPr="00597BDF" w:rsidRDefault="00597BDF" w:rsidP="00597BDF">
            <w:pPr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1" w:type="dxa"/>
            <w:shd w:val="clear" w:color="auto" w:fill="auto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51" w:type="dxa"/>
          </w:tcPr>
          <w:p w:rsidR="00597BDF" w:rsidRPr="00597BDF" w:rsidRDefault="003D385D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12087,3</w:t>
            </w:r>
          </w:p>
        </w:tc>
        <w:tc>
          <w:tcPr>
            <w:tcW w:w="1276" w:type="dxa"/>
          </w:tcPr>
          <w:p w:rsidR="00597BDF" w:rsidRPr="00597BDF" w:rsidRDefault="003D385D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2288,7</w:t>
            </w:r>
          </w:p>
        </w:tc>
        <w:tc>
          <w:tcPr>
            <w:tcW w:w="1185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497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597BDF" w:rsidRPr="00597BDF" w:rsidTr="00CF71DE">
        <w:trPr>
          <w:trHeight w:val="435"/>
        </w:trPr>
        <w:tc>
          <w:tcPr>
            <w:tcW w:w="3917" w:type="dxa"/>
            <w:shd w:val="clear" w:color="auto" w:fill="auto"/>
          </w:tcPr>
          <w:p w:rsidR="00597BDF" w:rsidRPr="00597BDF" w:rsidRDefault="00597BDF" w:rsidP="00597BDF">
            <w:pPr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1" w:type="dxa"/>
            <w:shd w:val="clear" w:color="auto" w:fill="auto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</w:tcPr>
          <w:p w:rsidR="00597BDF" w:rsidRPr="00597BDF" w:rsidRDefault="005C1FBC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258936,8</w:t>
            </w:r>
          </w:p>
        </w:tc>
        <w:tc>
          <w:tcPr>
            <w:tcW w:w="1276" w:type="dxa"/>
          </w:tcPr>
          <w:p w:rsidR="00597BDF" w:rsidRPr="00597BDF" w:rsidRDefault="005C1FBC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258719,6</w:t>
            </w:r>
          </w:p>
        </w:tc>
        <w:tc>
          <w:tcPr>
            <w:tcW w:w="1185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97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597BDF" w:rsidRPr="00597BDF" w:rsidTr="00CF71DE">
        <w:trPr>
          <w:trHeight w:val="967"/>
        </w:trPr>
        <w:tc>
          <w:tcPr>
            <w:tcW w:w="3917" w:type="dxa"/>
            <w:shd w:val="clear" w:color="auto" w:fill="auto"/>
          </w:tcPr>
          <w:p w:rsidR="00597BDF" w:rsidRPr="00597BDF" w:rsidRDefault="00597BDF" w:rsidP="00597BDF">
            <w:pPr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shd w:val="clear" w:color="auto" w:fill="auto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</w:tcPr>
          <w:p w:rsidR="00597BDF" w:rsidRPr="00597BDF" w:rsidRDefault="005C1FBC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777885,9</w:t>
            </w:r>
          </w:p>
        </w:tc>
        <w:tc>
          <w:tcPr>
            <w:tcW w:w="1276" w:type="dxa"/>
          </w:tcPr>
          <w:p w:rsidR="00597BDF" w:rsidRPr="00597BDF" w:rsidRDefault="005C1FBC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757400,7</w:t>
            </w:r>
          </w:p>
        </w:tc>
        <w:tc>
          <w:tcPr>
            <w:tcW w:w="1185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497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</w:tr>
      <w:tr w:rsidR="00597BDF" w:rsidRPr="00597BDF" w:rsidTr="00CF71DE">
        <w:trPr>
          <w:trHeight w:val="451"/>
        </w:trPr>
        <w:tc>
          <w:tcPr>
            <w:tcW w:w="3917" w:type="dxa"/>
            <w:shd w:val="clear" w:color="auto" w:fill="auto"/>
          </w:tcPr>
          <w:p w:rsidR="00597BDF" w:rsidRPr="00597BDF" w:rsidRDefault="00597BDF" w:rsidP="00597BDF">
            <w:pPr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81" w:type="dxa"/>
            <w:shd w:val="clear" w:color="auto" w:fill="auto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51" w:type="dxa"/>
          </w:tcPr>
          <w:p w:rsidR="00597BDF" w:rsidRPr="00597BDF" w:rsidRDefault="00B364B4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</w:tcPr>
          <w:p w:rsidR="00597BDF" w:rsidRPr="00597BDF" w:rsidRDefault="00B364B4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5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97" w:type="dxa"/>
            <w:shd w:val="clear" w:color="auto" w:fill="auto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7BDF" w:rsidRPr="00597BDF" w:rsidTr="00CF71DE">
        <w:trPr>
          <w:trHeight w:val="435"/>
        </w:trPr>
        <w:tc>
          <w:tcPr>
            <w:tcW w:w="3917" w:type="dxa"/>
            <w:shd w:val="clear" w:color="auto" w:fill="auto"/>
          </w:tcPr>
          <w:p w:rsidR="00597BDF" w:rsidRPr="00597BDF" w:rsidRDefault="00597BDF" w:rsidP="00597BDF">
            <w:pPr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1" w:type="dxa"/>
            <w:shd w:val="clear" w:color="auto" w:fill="auto"/>
          </w:tcPr>
          <w:p w:rsidR="00597BDF" w:rsidRPr="00597BDF" w:rsidRDefault="00597BDF" w:rsidP="00597BD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7BD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</w:tcPr>
          <w:p w:rsidR="00597BDF" w:rsidRPr="00597BDF" w:rsidRDefault="00EB4C8C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79076,1</w:t>
            </w:r>
          </w:p>
        </w:tc>
        <w:tc>
          <w:tcPr>
            <w:tcW w:w="1276" w:type="dxa"/>
          </w:tcPr>
          <w:p w:rsidR="00597BDF" w:rsidRPr="00597BDF" w:rsidRDefault="00EB4C8C" w:rsidP="00B364B4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75123,3</w:t>
            </w:r>
          </w:p>
        </w:tc>
        <w:tc>
          <w:tcPr>
            <w:tcW w:w="1185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497" w:type="dxa"/>
            <w:shd w:val="clear" w:color="auto" w:fill="auto"/>
          </w:tcPr>
          <w:p w:rsidR="00597BDF" w:rsidRPr="00597BDF" w:rsidRDefault="00FC051E" w:rsidP="00597BDF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597BDF" w:rsidRPr="00597BDF" w:rsidTr="00CF71DE">
        <w:trPr>
          <w:trHeight w:val="419"/>
        </w:trPr>
        <w:tc>
          <w:tcPr>
            <w:tcW w:w="3917" w:type="dxa"/>
            <w:shd w:val="clear" w:color="auto" w:fill="auto"/>
            <w:vAlign w:val="center"/>
          </w:tcPr>
          <w:p w:rsidR="00597BDF" w:rsidRPr="00597BDF" w:rsidRDefault="00597BDF" w:rsidP="00597B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7BDF">
              <w:rPr>
                <w:rFonts w:ascii="Times New Roman" w:hAnsi="Times New Roman" w:cs="Times New Roman"/>
                <w:b/>
              </w:rPr>
              <w:t>Общий итог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97BDF" w:rsidRPr="00597BDF" w:rsidRDefault="00597BDF" w:rsidP="00597BD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vAlign w:val="center"/>
          </w:tcPr>
          <w:p w:rsidR="00597BDF" w:rsidRPr="00597BDF" w:rsidRDefault="00B364B4" w:rsidP="00597BD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1330529,9</w:t>
            </w:r>
          </w:p>
        </w:tc>
        <w:tc>
          <w:tcPr>
            <w:tcW w:w="1276" w:type="dxa"/>
            <w:vAlign w:val="center"/>
          </w:tcPr>
          <w:p w:rsidR="00597BDF" w:rsidRPr="00597BDF" w:rsidRDefault="00B364B4" w:rsidP="00597BD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1287567,1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97BDF" w:rsidRPr="00597BDF" w:rsidRDefault="00EB4C8C" w:rsidP="00597BD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96,7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597BDF" w:rsidRPr="00597BDF" w:rsidRDefault="00EB4C8C" w:rsidP="00597BD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597BDF" w:rsidRPr="00FC051E" w:rsidRDefault="00597BDF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BDF" w:rsidRPr="00FC051E" w:rsidRDefault="00597BDF" w:rsidP="00597BDF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51E">
        <w:rPr>
          <w:rFonts w:ascii="Times New Roman" w:hAnsi="Times New Roman" w:cs="Times New Roman"/>
          <w:color w:val="000000"/>
          <w:sz w:val="26"/>
          <w:szCs w:val="26"/>
        </w:rPr>
        <w:t>Исходя из данных</w:t>
      </w:r>
      <w:r w:rsidR="0048118A" w:rsidRPr="00FC051E">
        <w:rPr>
          <w:rFonts w:ascii="Times New Roman" w:hAnsi="Times New Roman" w:cs="Times New Roman"/>
          <w:color w:val="000000"/>
          <w:sz w:val="26"/>
          <w:szCs w:val="26"/>
        </w:rPr>
        <w:t>, представленных в таблице</w:t>
      </w:r>
      <w:r w:rsidR="00A97F2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>видно, что основная доля исполненных расходов районного бюджета приходится на такие виды расходов, как:</w:t>
      </w:r>
    </w:p>
    <w:p w:rsidR="00597BDF" w:rsidRPr="00FC051E" w:rsidRDefault="00597BDF" w:rsidP="00597B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       - п</w:t>
      </w:r>
      <w:r w:rsidRPr="00FC051E">
        <w:rPr>
          <w:rFonts w:ascii="Times New Roman" w:hAnsi="Times New Roman" w:cs="Times New Roman"/>
          <w:sz w:val="26"/>
          <w:szCs w:val="26"/>
        </w:rPr>
        <w:t>редоставление субсидий бюджетным, автономным учреждениям и иным некоммерческим организациям (вид расходов 600) -</w:t>
      </w:r>
      <w:r w:rsidR="00FC051E" w:rsidRPr="00FC051E">
        <w:rPr>
          <w:rFonts w:ascii="Times New Roman" w:hAnsi="Times New Roman" w:cs="Times New Roman"/>
          <w:sz w:val="26"/>
          <w:szCs w:val="26"/>
        </w:rPr>
        <w:t>58,8</w:t>
      </w:r>
      <w:r w:rsidRPr="00FC051E">
        <w:rPr>
          <w:rFonts w:ascii="Times New Roman" w:hAnsi="Times New Roman" w:cs="Times New Roman"/>
          <w:sz w:val="26"/>
          <w:szCs w:val="26"/>
        </w:rPr>
        <w:t xml:space="preserve">% или </w:t>
      </w:r>
      <w:r w:rsidR="00FC051E" w:rsidRPr="00FC051E">
        <w:rPr>
          <w:rFonts w:ascii="Times New Roman" w:hAnsi="Times New Roman" w:cs="Times New Roman"/>
          <w:sz w:val="26"/>
          <w:szCs w:val="26"/>
        </w:rPr>
        <w:t>757400,7</w:t>
      </w:r>
      <w:r w:rsidRPr="00FC051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97BDF" w:rsidRPr="00FC051E" w:rsidRDefault="00597BDF" w:rsidP="00597BD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51E">
        <w:rPr>
          <w:rFonts w:ascii="Times New Roman" w:hAnsi="Times New Roman" w:cs="Times New Roman"/>
          <w:color w:val="000000"/>
          <w:sz w:val="26"/>
          <w:szCs w:val="26"/>
        </w:rPr>
        <w:t>- выплаты персоналу в целях обеспечения выполнения функций муниципальными органами, казенными учреждениями (вид расходов 100) – 9,</w:t>
      </w:r>
      <w:r w:rsidR="00FC051E" w:rsidRPr="00FC051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22B68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или </w:t>
      </w:r>
      <w:r w:rsidR="00FC051E" w:rsidRPr="00FC051E">
        <w:rPr>
          <w:rFonts w:ascii="Times New Roman" w:hAnsi="Times New Roman" w:cs="Times New Roman"/>
          <w:color w:val="000000"/>
          <w:sz w:val="26"/>
          <w:szCs w:val="26"/>
        </w:rPr>
        <w:t>117439,1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 тыс. руб.;</w:t>
      </w:r>
    </w:p>
    <w:p w:rsidR="00597BDF" w:rsidRPr="00FC051E" w:rsidRDefault="00597BDF" w:rsidP="00F83C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-  межбюджетные трансферты (вид расходов 500) -  </w:t>
      </w:r>
      <w:r w:rsidR="00FC051E" w:rsidRPr="00FC051E">
        <w:rPr>
          <w:rFonts w:ascii="Times New Roman" w:hAnsi="Times New Roman" w:cs="Times New Roman"/>
          <w:color w:val="000000"/>
          <w:sz w:val="26"/>
          <w:szCs w:val="26"/>
        </w:rPr>
        <w:t>20,0</w:t>
      </w:r>
      <w:r w:rsidR="00C22B68">
        <w:rPr>
          <w:rFonts w:ascii="Times New Roman" w:hAnsi="Times New Roman" w:cs="Times New Roman"/>
          <w:color w:val="000000"/>
          <w:sz w:val="26"/>
          <w:szCs w:val="26"/>
        </w:rPr>
        <w:t xml:space="preserve"> % 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или </w:t>
      </w:r>
      <w:r w:rsidR="00FC051E" w:rsidRPr="00FC051E">
        <w:rPr>
          <w:rFonts w:ascii="Times New Roman" w:hAnsi="Times New Roman" w:cs="Times New Roman"/>
          <w:color w:val="000000"/>
          <w:sz w:val="26"/>
          <w:szCs w:val="26"/>
        </w:rPr>
        <w:t>258719,6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 тыс. руб. </w:t>
      </w:r>
    </w:p>
    <w:p w:rsidR="00597BDF" w:rsidRPr="00FC051E" w:rsidRDefault="00597BDF" w:rsidP="00F83C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51E">
        <w:rPr>
          <w:rFonts w:ascii="Times New Roman" w:hAnsi="Times New Roman" w:cs="Times New Roman"/>
          <w:color w:val="000000"/>
          <w:sz w:val="26"/>
          <w:szCs w:val="26"/>
        </w:rPr>
        <w:t>- иные бюджетные ассигнования (вид расходов 800) – 5,</w:t>
      </w:r>
      <w:r w:rsidR="00FC051E" w:rsidRPr="00FC051E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 % или </w:t>
      </w:r>
      <w:r w:rsidR="00FC051E" w:rsidRPr="00FC051E">
        <w:rPr>
          <w:rFonts w:ascii="Times New Roman" w:hAnsi="Times New Roman" w:cs="Times New Roman"/>
          <w:color w:val="000000"/>
          <w:sz w:val="26"/>
          <w:szCs w:val="26"/>
        </w:rPr>
        <w:t>75123,3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 тыс. руб.;</w:t>
      </w:r>
    </w:p>
    <w:p w:rsidR="00597BDF" w:rsidRDefault="00597BDF" w:rsidP="00F83C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-  закупка товаров, работ и услуг для обеспечения муниципальных нужд (вид расходов 200) -  </w:t>
      </w:r>
      <w:r w:rsidR="00FC051E" w:rsidRPr="00FC051E">
        <w:rPr>
          <w:rFonts w:ascii="Times New Roman" w:hAnsi="Times New Roman" w:cs="Times New Roman"/>
          <w:color w:val="000000"/>
          <w:sz w:val="26"/>
          <w:szCs w:val="26"/>
        </w:rPr>
        <w:t>5,5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 % или </w:t>
      </w:r>
      <w:r w:rsidR="00FC051E" w:rsidRPr="00FC051E">
        <w:rPr>
          <w:rFonts w:ascii="Times New Roman" w:hAnsi="Times New Roman" w:cs="Times New Roman"/>
          <w:color w:val="000000"/>
          <w:sz w:val="26"/>
          <w:szCs w:val="26"/>
        </w:rPr>
        <w:t>70823,8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 тыс. руб.</w:t>
      </w:r>
    </w:p>
    <w:p w:rsidR="00FC051E" w:rsidRDefault="00FC051E" w:rsidP="00FC05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FC051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рамках текущего контроля за исполнением районного бюджета по состоянию на 01.07.2021 года установлено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неэффективное</w:t>
      </w:r>
      <w:r w:rsidRPr="00FC051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расходование средств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районного бюджета </w:t>
      </w:r>
      <w:r w:rsidRPr="00FC051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Администрацией Балахт</w:t>
      </w:r>
      <w:r w:rsidR="00A1733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инского района по КБК глава 094</w:t>
      </w:r>
      <w:r w:rsidRPr="00FC051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раздел 04 «Национ</w:t>
      </w:r>
      <w:r w:rsidR="00C21B1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альная экономика» подраздел 12 </w:t>
      </w:r>
      <w:r w:rsidR="00C22B6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«Другие вопросы в области</w:t>
      </w:r>
      <w:r w:rsidRPr="00FC051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национальной экономики» ЦСР «прочие расходы в рамках непрограммных расходов отдельных мероприятий» 94300083100  код вида расходов 853 «Уплата иных платежей»  в размере 9438,2 тыс. рублей.</w:t>
      </w:r>
    </w:p>
    <w:p w:rsidR="00FC051E" w:rsidRPr="00FC051E" w:rsidRDefault="00FC051E" w:rsidP="00FC05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ходе анализа </w:t>
      </w:r>
      <w:r w:rsidR="00A1733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расходной части бюджета установлено расходование средств районного бюджета на уплату штрафных санкций Администрацией района в сумме </w:t>
      </w:r>
      <w:r w:rsidR="00F15A2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143,0</w:t>
      </w:r>
      <w:r w:rsidR="00A1733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рублей, МКУ «Служба заказчика Балахтинского района» в размере 50,0 тыс. рублей. Отвлечение средств бюджета на уплату штрафных санкций также </w:t>
      </w:r>
      <w:r w:rsidR="00C21B1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квалифицируется как </w:t>
      </w:r>
      <w:r w:rsidR="00A1733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неэффективны</w:t>
      </w:r>
      <w:r w:rsidR="00C21B1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</w:t>
      </w:r>
      <w:r w:rsidR="00A1733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расходование бюджетных средств.</w:t>
      </w:r>
    </w:p>
    <w:p w:rsidR="00597BDF" w:rsidRPr="00C21B1C" w:rsidRDefault="00597BDF" w:rsidP="00597B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21B1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Использование средств резервного фонда</w:t>
      </w:r>
    </w:p>
    <w:p w:rsidR="00597BDF" w:rsidRPr="00C21B1C" w:rsidRDefault="00597BDF" w:rsidP="003B20B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Статьёй 14 Решения о бюджете на 202</w:t>
      </w:r>
      <w:r w:rsidR="00C21B1C" w:rsidRPr="00C21B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21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C21B1C" w:rsidRPr="00C21B1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21B1C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C21B1C" w:rsidRPr="00C21B1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21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годы размер резервного фонда утверждены в сумме </w:t>
      </w:r>
      <w:r w:rsidRPr="00C21B1C">
        <w:rPr>
          <w:rFonts w:ascii="Times New Roman" w:eastAsia="Times New Roman" w:hAnsi="Times New Roman" w:cs="Times New Roman"/>
          <w:sz w:val="26"/>
          <w:szCs w:val="26"/>
        </w:rPr>
        <w:t xml:space="preserve">500,0 </w:t>
      </w:r>
      <w:r w:rsidRPr="00C21B1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 равномерно по годам, что составляет 0,</w:t>
      </w:r>
      <w:r w:rsidR="00C21B1C" w:rsidRPr="00C21B1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21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общего объема утвержденных расходов районного бюджета на 202</w:t>
      </w:r>
      <w:r w:rsidR="00C21B1C" w:rsidRPr="00C21B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21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соответствует пункту 3 статьи 81 БК РФ. В р</w:t>
      </w:r>
      <w:r w:rsidR="003B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езультате корректировок бюджета резервный фонд уменьшен до </w:t>
      </w:r>
      <w:r w:rsidRPr="00C21B1C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</w:t>
      </w:r>
      <w:r w:rsidR="003B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связи с отсутствием чрезвычайных ситуаций.                                                                                          </w:t>
      </w:r>
    </w:p>
    <w:p w:rsidR="00597BDF" w:rsidRPr="00A97F2A" w:rsidRDefault="00597BDF" w:rsidP="00597BD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97F2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 xml:space="preserve">Дефицит (профицит) бюджета, бюджетные кредиты, </w:t>
      </w:r>
    </w:p>
    <w:p w:rsidR="00597BDF" w:rsidRPr="00A97F2A" w:rsidRDefault="00597BDF" w:rsidP="00597BD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97F2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муниципальный долг и расходы на обслуживание и погашение муниципальных долговых обязательств </w:t>
      </w:r>
    </w:p>
    <w:p w:rsidR="00597BDF" w:rsidRPr="00A97F2A" w:rsidRDefault="00597BDF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F2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 финансирова</w:t>
      </w:r>
      <w:r w:rsidR="00107E9B" w:rsidRPr="00A9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дефицита районного бюджета 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в таблице</w:t>
      </w:r>
      <w:r w:rsidRPr="00A97F2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97BDF" w:rsidRPr="00597BDF" w:rsidRDefault="00597BDF" w:rsidP="00597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1927"/>
      </w:tblGrid>
      <w:tr w:rsidR="00597BDF" w:rsidRPr="00597BDF" w:rsidTr="00CF71DE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план</w:t>
            </w:r>
          </w:p>
          <w:p w:rsidR="00597BDF" w:rsidRPr="00597BDF" w:rsidRDefault="00597BDF" w:rsidP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C2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597BDF" w:rsidRPr="00597BDF" w:rsidRDefault="00597BDF" w:rsidP="006B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</w:t>
            </w:r>
            <w:r w:rsidR="006B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980" w:type="dxa"/>
            <w:vAlign w:val="bottom"/>
          </w:tcPr>
          <w:p w:rsidR="00597BDF" w:rsidRPr="00597BDF" w:rsidRDefault="00431C6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1042844,2</w:t>
            </w:r>
          </w:p>
        </w:tc>
        <w:tc>
          <w:tcPr>
            <w:tcW w:w="1927" w:type="dxa"/>
            <w:vAlign w:val="bottom"/>
          </w:tcPr>
          <w:p w:rsidR="00597BDF" w:rsidRPr="00597BDF" w:rsidRDefault="00F15A2B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1278815,6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980" w:type="dxa"/>
            <w:vAlign w:val="bottom"/>
          </w:tcPr>
          <w:p w:rsidR="00597BDF" w:rsidRPr="00597BDF" w:rsidRDefault="00431C6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1044363,5</w:t>
            </w:r>
          </w:p>
        </w:tc>
        <w:tc>
          <w:tcPr>
            <w:tcW w:w="1927" w:type="dxa"/>
            <w:vAlign w:val="bottom"/>
          </w:tcPr>
          <w:p w:rsidR="00597BDF" w:rsidRPr="00597BDF" w:rsidRDefault="00F15A2B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1287567,1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0" w:type="dxa"/>
            <w:vAlign w:val="bottom"/>
          </w:tcPr>
          <w:p w:rsidR="00597BDF" w:rsidRPr="00597BDF" w:rsidRDefault="00431C6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928782,6</w:t>
            </w:r>
          </w:p>
        </w:tc>
        <w:tc>
          <w:tcPr>
            <w:tcW w:w="1927" w:type="dxa"/>
            <w:vAlign w:val="bottom"/>
          </w:tcPr>
          <w:p w:rsidR="00597BDF" w:rsidRPr="00597BDF" w:rsidRDefault="00F15A2B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1139505,6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980" w:type="dxa"/>
            <w:vAlign w:val="bottom"/>
          </w:tcPr>
          <w:p w:rsidR="00597BDF" w:rsidRPr="00597BDF" w:rsidRDefault="00431C6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114061,6</w:t>
            </w:r>
          </w:p>
        </w:tc>
        <w:tc>
          <w:tcPr>
            <w:tcW w:w="1927" w:type="dxa"/>
            <w:vAlign w:val="bottom"/>
          </w:tcPr>
          <w:p w:rsidR="00597BDF" w:rsidRPr="00597BDF" w:rsidRDefault="00F15A2B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139310,0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(-дефицит) или (+профицит)</w:t>
            </w:r>
          </w:p>
        </w:tc>
        <w:tc>
          <w:tcPr>
            <w:tcW w:w="1980" w:type="dxa"/>
            <w:vAlign w:val="bottom"/>
          </w:tcPr>
          <w:p w:rsidR="00597BDF" w:rsidRPr="00597BDF" w:rsidRDefault="004368C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-1519,3</w:t>
            </w:r>
          </w:p>
        </w:tc>
        <w:tc>
          <w:tcPr>
            <w:tcW w:w="1927" w:type="dxa"/>
            <w:vAlign w:val="bottom"/>
          </w:tcPr>
          <w:p w:rsidR="00597BDF" w:rsidRPr="00597BDF" w:rsidRDefault="003A008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-8751,5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980" w:type="dxa"/>
            <w:vAlign w:val="bottom"/>
          </w:tcPr>
          <w:p w:rsidR="00597BDF" w:rsidRPr="00597BDF" w:rsidRDefault="004368C5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927" w:type="dxa"/>
            <w:vAlign w:val="bottom"/>
          </w:tcPr>
          <w:p w:rsidR="00597BDF" w:rsidRPr="00597BDF" w:rsidRDefault="00F15A2B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980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597BDF" w:rsidRPr="00597BDF" w:rsidRDefault="00BE79D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бюджетам муниципальных районов</w:t>
            </w:r>
          </w:p>
        </w:tc>
        <w:tc>
          <w:tcPr>
            <w:tcW w:w="1980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597BDF" w:rsidRPr="00597BDF" w:rsidRDefault="00BE79D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15200,0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Российской Федерации бюджетам муниципальных районов</w:t>
            </w:r>
          </w:p>
        </w:tc>
        <w:tc>
          <w:tcPr>
            <w:tcW w:w="1980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597BDF" w:rsidRPr="00597BDF" w:rsidRDefault="00BE79D4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14500,0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980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980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bottom"/>
          </w:tcPr>
          <w:p w:rsidR="00597BDF" w:rsidRPr="00597BDF" w:rsidRDefault="006B7E7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1927" w:type="dxa"/>
            <w:vAlign w:val="bottom"/>
          </w:tcPr>
          <w:p w:rsidR="00597BDF" w:rsidRPr="00597BDF" w:rsidRDefault="00F15A2B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8025,5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980" w:type="dxa"/>
            <w:vAlign w:val="bottom"/>
          </w:tcPr>
          <w:p w:rsidR="00597BDF" w:rsidRPr="00597BDF" w:rsidRDefault="006B7E7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1042844,2</w:t>
            </w:r>
          </w:p>
        </w:tc>
        <w:tc>
          <w:tcPr>
            <w:tcW w:w="1927" w:type="dxa"/>
            <w:vAlign w:val="bottom"/>
          </w:tcPr>
          <w:p w:rsidR="00597BDF" w:rsidRPr="00597BDF" w:rsidRDefault="00F15A2B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1344732,1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980" w:type="dxa"/>
            <w:vAlign w:val="bottom"/>
          </w:tcPr>
          <w:p w:rsidR="00597BDF" w:rsidRPr="00597BDF" w:rsidRDefault="006B7E7D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1044363,5</w:t>
            </w:r>
          </w:p>
        </w:tc>
        <w:tc>
          <w:tcPr>
            <w:tcW w:w="1927" w:type="dxa"/>
            <w:vAlign w:val="bottom"/>
          </w:tcPr>
          <w:p w:rsidR="00597BDF" w:rsidRPr="00597BDF" w:rsidRDefault="00F15A2B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1352757,6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597BDF" w:rsidRPr="00597BDF" w:rsidRDefault="0021220C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</w:t>
            </w:r>
            <w:r w:rsidR="00597BDF"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предоставленные внутри страны</w:t>
            </w:r>
          </w:p>
        </w:tc>
        <w:tc>
          <w:tcPr>
            <w:tcW w:w="1980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597BDF" w:rsidRPr="00597BDF" w:rsidRDefault="00F15A2B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597BDF" w:rsidRPr="00597BDF" w:rsidTr="00CF71DE">
        <w:tc>
          <w:tcPr>
            <w:tcW w:w="540" w:type="dxa"/>
          </w:tcPr>
          <w:p w:rsidR="00597BDF" w:rsidRPr="00597BDF" w:rsidRDefault="00597BDF" w:rsidP="005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597BDF" w:rsidRPr="00597BDF" w:rsidRDefault="00597BDF" w:rsidP="005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</w:t>
            </w:r>
          </w:p>
        </w:tc>
        <w:tc>
          <w:tcPr>
            <w:tcW w:w="1980" w:type="dxa"/>
            <w:vAlign w:val="bottom"/>
          </w:tcPr>
          <w:p w:rsidR="00597BDF" w:rsidRPr="00597BDF" w:rsidRDefault="00597BDF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597BDF" w:rsidRPr="00597BDF" w:rsidRDefault="00F15A2B" w:rsidP="0059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</w:tbl>
    <w:p w:rsidR="00597BDF" w:rsidRPr="00597BDF" w:rsidRDefault="00597BDF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DF" w:rsidRPr="00077B2C" w:rsidRDefault="00597BDF" w:rsidP="00597BDF">
      <w:pPr>
        <w:spacing w:after="0" w:line="322" w:lineRule="exac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итогам 202</w:t>
      </w:r>
      <w:r w:rsidR="003A0084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райо</w:t>
      </w:r>
      <w:r w:rsidR="0021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нный бюджет исполнен с </w:t>
      </w:r>
      <w:r w:rsidR="003A0084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дефицитом</w:t>
      </w:r>
      <w:r w:rsidR="00C2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</w:t>
      </w:r>
      <w:r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3A0084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>8751,5</w:t>
      </w:r>
      <w:r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597BDF" w:rsidRPr="00077B2C" w:rsidRDefault="00597BDF" w:rsidP="00597BDF">
      <w:pPr>
        <w:spacing w:after="0" w:line="322" w:lineRule="exac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Остаток средств на счетах по учету средств бюджета по состоянию на 01.01.202</w:t>
      </w:r>
      <w:r w:rsidR="0068466C" w:rsidRPr="00077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077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составил </w:t>
      </w:r>
      <w:r w:rsidR="0068466C" w:rsidRPr="00077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5096,0</w:t>
      </w:r>
      <w:r w:rsidRPr="00077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</w:t>
      </w:r>
      <w:r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целевые (субвенции,) – </w:t>
      </w:r>
      <w:r w:rsidR="00077B2C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>151,0</w:t>
      </w:r>
      <w:r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свободные остатки средств </w:t>
      </w:r>
      <w:r w:rsidR="00077B2C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77B2C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>4945,0</w:t>
      </w:r>
      <w:r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97BDF" w:rsidRPr="00077B2C" w:rsidRDefault="004D2739" w:rsidP="00597BD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97BDF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7BDF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остатков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краевого бюджета,</w:t>
      </w:r>
      <w:r w:rsidR="00597BDF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представленных отчетов об использовании межбюджетных трансфертов, полученных из краевого бюджета (ф.0503324), произошло по причине </w:t>
      </w:r>
      <w:r w:rsidR="00597BDF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неполно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597BDF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97BDF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BDF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субвенци</w:t>
      </w:r>
      <w:r w:rsidR="00077B2C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выполнение государственных полномочий по обращению с животными без владельцев  в размере 67,1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района</w:t>
      </w:r>
      <w:r w:rsidR="00077B2C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образования </w:t>
      </w:r>
      <w:r w:rsidR="00077B2C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субвенции по предоставлению компенсации родителям (законным </w:t>
      </w:r>
      <w:r w:rsidR="00077B2C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представителям) детей, посещающих образовательные организации, реализующие образовательную программу дошкольного образования </w:t>
      </w:r>
      <w:r w:rsidR="00597BDF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77B2C" w:rsidRPr="000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размере 83,9 тыс. рублей.</w:t>
      </w:r>
    </w:p>
    <w:p w:rsidR="00597BDF" w:rsidRPr="004D2739" w:rsidRDefault="00597BDF" w:rsidP="00597B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долг муниципального района по состоянию на 01.01.202</w:t>
      </w:r>
      <w:r w:rsidR="00077B2C"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 </w:t>
      </w:r>
      <w:r w:rsidR="00077B2C"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15200,0 </w:t>
      </w:r>
      <w:r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 руб.</w:t>
      </w:r>
      <w:r w:rsidRPr="004D2739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бюджетный кредит, привлеченный в бюджет Балахтинского района от других бюджетов бюджетной системы Российской Федерации по договору о предоставлении бюджетного кредита от 2</w:t>
      </w:r>
      <w:r w:rsidR="00077B2C" w:rsidRPr="004D273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4D2739">
        <w:rPr>
          <w:rFonts w:ascii="Times New Roman" w:hAnsi="Times New Roman" w:cs="Times New Roman"/>
          <w:color w:val="000000"/>
          <w:sz w:val="26"/>
          <w:szCs w:val="26"/>
        </w:rPr>
        <w:t>.12.202</w:t>
      </w:r>
      <w:r w:rsidR="00077B2C" w:rsidRPr="004D273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4D2739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077B2C" w:rsidRPr="004D2739">
        <w:rPr>
          <w:rFonts w:ascii="Times New Roman" w:hAnsi="Times New Roman" w:cs="Times New Roman"/>
          <w:color w:val="000000"/>
          <w:sz w:val="26"/>
          <w:szCs w:val="26"/>
        </w:rPr>
        <w:t>180</w:t>
      </w:r>
      <w:r w:rsidRPr="004D2739">
        <w:rPr>
          <w:rFonts w:ascii="Times New Roman" w:hAnsi="Times New Roman" w:cs="Times New Roman"/>
          <w:color w:val="000000"/>
          <w:sz w:val="26"/>
          <w:szCs w:val="26"/>
        </w:rPr>
        <w:t>/12-2</w:t>
      </w:r>
      <w:r w:rsidR="00077B2C" w:rsidRPr="004D273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22B68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4D2739">
        <w:rPr>
          <w:rFonts w:ascii="Times New Roman" w:hAnsi="Times New Roman" w:cs="Times New Roman"/>
          <w:color w:val="000000"/>
          <w:sz w:val="26"/>
          <w:szCs w:val="26"/>
        </w:rPr>
        <w:t>со сроком гашения до 1 марта 202</w:t>
      </w:r>
      <w:r w:rsidR="004D2739" w:rsidRPr="004D273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4D2739">
        <w:rPr>
          <w:rFonts w:ascii="Times New Roman" w:hAnsi="Times New Roman" w:cs="Times New Roman"/>
          <w:color w:val="000000"/>
          <w:sz w:val="26"/>
          <w:szCs w:val="26"/>
        </w:rPr>
        <w:t>года).</w:t>
      </w:r>
    </w:p>
    <w:p w:rsidR="00597BDF" w:rsidRPr="004D2739" w:rsidRDefault="00597BDF" w:rsidP="00597B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Соотношение объема муниципального долга района к объему собственных доходов (доходы за минусом безвозмездных поступлений из других бюджетов) увеличилось с </w:t>
      </w:r>
      <w:r w:rsidR="004D2739"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>12,5</w:t>
      </w:r>
      <w:r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>% в 20</w:t>
      </w:r>
      <w:r w:rsidR="004D2739"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до </w:t>
      </w:r>
      <w:r w:rsidR="004D2739"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>10,9</w:t>
      </w:r>
      <w:r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>% в 202</w:t>
      </w:r>
      <w:r w:rsidR="004D2739"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году.</w:t>
      </w:r>
    </w:p>
    <w:p w:rsidR="00597BDF" w:rsidRPr="004D2739" w:rsidRDefault="00597BDF" w:rsidP="00597B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на обслуживание муниципального долга муниципального района в отчетном периоде составили </w:t>
      </w:r>
      <w:r w:rsidR="004D2739"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>1,6</w:t>
      </w:r>
      <w:r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 не превысили утвержденный Решением о бюджете предельный объем расходов на обслуживание муниципального долга. </w:t>
      </w:r>
    </w:p>
    <w:p w:rsidR="00597BDF" w:rsidRPr="004D2739" w:rsidRDefault="00597BDF" w:rsidP="00597B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739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Удельный вес расходов на обслуживание муниципального долга в расходах районного бюджета соответствует требованиям статьи 111 БК РФ.</w:t>
      </w:r>
    </w:p>
    <w:p w:rsidR="00697A1F" w:rsidRPr="00171220" w:rsidRDefault="00171220" w:rsidP="00171220">
      <w:pPr>
        <w:keepNext/>
        <w:shd w:val="clear" w:color="auto" w:fill="FFFFFF"/>
        <w:spacing w:after="0" w:line="240" w:lineRule="auto"/>
        <w:ind w:left="-567" w:right="-766" w:firstLine="1106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1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:rsidR="00597BDF" w:rsidRPr="00171220" w:rsidRDefault="00597BDF" w:rsidP="00597BDF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712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1.Годовой отчет об исполнении районного бюджета Балахтинского муниципального района за 202</w:t>
      </w:r>
      <w:r w:rsidR="00171220" w:rsidRPr="00171220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1712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представлен Администрацией Балахтинского района в </w:t>
      </w:r>
      <w:r w:rsidR="00F83CC5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Контрольно-счетный орган</w:t>
      </w:r>
      <w:r w:rsidRPr="001712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соблюдением срока, установленного статьей 264.4 Бюджетного кодекса Российской Федерации и статьей 52 Положения о бюджетном процессе в Балахтинском районе.</w:t>
      </w:r>
    </w:p>
    <w:p w:rsidR="00171220" w:rsidRDefault="00597BDF" w:rsidP="00171220">
      <w:pPr>
        <w:shd w:val="clear" w:color="auto" w:fill="FFFFFF"/>
        <w:spacing w:after="0" w:line="322" w:lineRule="exact"/>
        <w:ind w:right="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71220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 По результатам проведения проверки годовой бюджетной отчетности главных распорядителей бюджетных средств</w:t>
      </w:r>
      <w:r w:rsidR="00171220" w:rsidRPr="00171220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установлено</w:t>
      </w:r>
      <w:r w:rsidR="00171220" w:rsidRPr="00171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не отражение в бюджетном учете операций по счетам </w:t>
      </w:r>
      <w:r w:rsidR="00171220" w:rsidRPr="00171220">
        <w:rPr>
          <w:rFonts w:ascii="Times New Roman" w:eastAsia="Times New Roman" w:hAnsi="Times New Roman" w:cs="Times New Roman"/>
          <w:sz w:val="26"/>
          <w:szCs w:val="26"/>
          <w:lang w:eastAsia="ar-SA"/>
        </w:rPr>
        <w:t>0 501 23 000 «Лимиты бюджетных обязательств первого года, следующего за текущим (очередного финансового года)», счет 0 501</w:t>
      </w:r>
      <w:r w:rsidR="00171220" w:rsidRPr="007F1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33 000 «Лимиты бюджетных обязательств второго года, следующего за текущим(первого года, следующего за очередным)» в нарушение п.п.309,315,316 Инструкции № 157н;   по счету 0 502 99 000 «Отложенные обязательства на иные очередные годы(за пределами планового периода)» в нарушение статьи 264.1 Бюджетного кодекса РФ, п.7 Федерального стандарта № 124н, п.п.302.1,308,309 Инструкции № 157Н, раздела 3 Методических рекомендаций по применению положений СГС «Резервы. Раскрытие информации об условных обязательствах и условных активах, письма Минфина России от 14.01.2016 № 02-07-10/604; не соответствие утвержденных лимитов, доведенных бюджетной росписью по  счету 0 501 13 000 «Лимиты бюджетных обязательств текущего финансового года»  показателям графы 5 Отчета о бюджетных обязательствах  (ф.0503128) и раздела 3 Сведений о принятых и неисполненных обязательствах получателя бюджетных средств (ф.0503175);  принятие к учету активов по стоимости, не соответствующей стоимости, отраженной в документах, подтверждающих переход прав (МКУ УИЗИЗ –автомобиль Т</w:t>
      </w:r>
      <w:r w:rsidR="00171220">
        <w:rPr>
          <w:rFonts w:ascii="Times New Roman" w:eastAsia="Times New Roman" w:hAnsi="Times New Roman" w:cs="Times New Roman"/>
          <w:sz w:val="26"/>
          <w:szCs w:val="26"/>
          <w:lang w:eastAsia="ar-SA"/>
        </w:rPr>
        <w:t>ОЙОТА</w:t>
      </w:r>
      <w:r w:rsidR="00171220" w:rsidRPr="007F1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</w:t>
      </w:r>
      <w:r w:rsidR="00171220">
        <w:rPr>
          <w:rFonts w:ascii="Times New Roman" w:eastAsia="Times New Roman" w:hAnsi="Times New Roman" w:cs="Times New Roman"/>
          <w:sz w:val="26"/>
          <w:szCs w:val="26"/>
          <w:lang w:eastAsia="ar-SA"/>
        </w:rPr>
        <w:t>АМРИ</w:t>
      </w:r>
      <w:r w:rsidR="00171220" w:rsidRPr="007F1D2A">
        <w:rPr>
          <w:rFonts w:ascii="Times New Roman" w:eastAsia="Times New Roman" w:hAnsi="Times New Roman" w:cs="Times New Roman"/>
          <w:sz w:val="26"/>
          <w:szCs w:val="26"/>
          <w:lang w:eastAsia="ar-SA"/>
        </w:rPr>
        <w:t>), не проведение перед составление годовой бюджетной отчетности инвентаризации активов и обязательств (МКУ Служба заказчика»), не проведение инвентаризации имущества казны (МКУ УИЗИЗ)</w:t>
      </w:r>
      <w:r w:rsidR="006F4C40">
        <w:rPr>
          <w:rFonts w:ascii="Times New Roman" w:eastAsia="Times New Roman" w:hAnsi="Times New Roman" w:cs="Times New Roman"/>
          <w:sz w:val="26"/>
          <w:szCs w:val="26"/>
          <w:lang w:eastAsia="ar-SA"/>
        </w:rPr>
        <w:t>; не отражение на счетах бухгалтерского учета, поступившего имущества</w:t>
      </w:r>
      <w:r w:rsidR="00A128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F4C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(МАУ ФСЦ «Олимп») </w:t>
      </w:r>
      <w:r w:rsidR="009F10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что </w:t>
      </w:r>
      <w:r w:rsidR="001712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влечет риски, которые могут оказать влияние на достоверность отчетности.</w:t>
      </w:r>
    </w:p>
    <w:p w:rsidR="00597BDF" w:rsidRPr="006D6065" w:rsidRDefault="00597BDF" w:rsidP="00171220">
      <w:pPr>
        <w:spacing w:after="0" w:line="240" w:lineRule="atLeast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6D6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2.Показатели доходов, расходов районного бюджета соответствуют показателям представленного отчета: </w:t>
      </w:r>
    </w:p>
    <w:p w:rsidR="00597BDF" w:rsidRPr="006D6065" w:rsidRDefault="00597BDF" w:rsidP="00597BDF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-поступило доходов на сумму </w:t>
      </w:r>
      <w:r w:rsidR="00171220"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127</w:t>
      </w:r>
      <w:r w:rsidR="006F4C40"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71220"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815,6</w:t>
      </w:r>
      <w:r w:rsidRPr="006D6065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</w:t>
      </w:r>
      <w:r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что </w:t>
      </w:r>
      <w:r w:rsidR="00171220"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</w:t>
      </w:r>
      <w:r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назначений на </w:t>
      </w:r>
      <w:r w:rsidR="00171220"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37867,7</w:t>
      </w:r>
      <w:r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в том числе:</w:t>
      </w:r>
    </w:p>
    <w:p w:rsidR="00597BDF" w:rsidRPr="006D6065" w:rsidRDefault="00597BDF" w:rsidP="00597BDF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налоговые доходы- </w:t>
      </w:r>
      <w:r w:rsidR="006F4C40"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117432,6</w:t>
      </w:r>
      <w:r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тыс. рублей или </w:t>
      </w:r>
      <w:r w:rsidR="006F4C40"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101,5</w:t>
      </w:r>
      <w:r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597BDF" w:rsidRPr="006D6065" w:rsidRDefault="00597BDF" w:rsidP="00597BDF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неналоговые доходы -</w:t>
      </w:r>
      <w:r w:rsidR="006F4C40"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21877,4</w:t>
      </w:r>
      <w:r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6F4C40"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103,8</w:t>
      </w:r>
      <w:r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597BDF" w:rsidRPr="006D6065" w:rsidRDefault="00597BDF" w:rsidP="00597BDF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</w:t>
      </w:r>
      <w:r w:rsidR="006F4C40"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1139505,6</w:t>
      </w:r>
      <w:r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6F4C40"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96,5</w:t>
      </w:r>
      <w:r w:rsidRPr="006D6065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97BDF" w:rsidRPr="006D6065" w:rsidRDefault="00597BDF" w:rsidP="00597BD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60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Как и в предыдущие годы, основными доходообразующим налогом является налог на доходы физических лиц, формируемым около </w:t>
      </w:r>
      <w:r w:rsidR="006D6065" w:rsidRPr="006D60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64,6 </w:t>
      </w:r>
      <w:r w:rsidRPr="006D6065">
        <w:rPr>
          <w:rFonts w:ascii="Times New Roman" w:eastAsia="Calibri" w:hAnsi="Times New Roman" w:cs="Times New Roman"/>
          <w:sz w:val="26"/>
          <w:szCs w:val="26"/>
          <w:lang w:eastAsia="ru-RU"/>
        </w:rPr>
        <w:t>% собственных доходов района.</w:t>
      </w:r>
    </w:p>
    <w:p w:rsidR="00597BDF" w:rsidRDefault="00597BDF" w:rsidP="00597BDF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6065"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Повышение собираемости налогов и сборов и повышение эффективности работы по взысканию задолженности являются одними из основных резервов роста доходной части районного бюджета.</w:t>
      </w:r>
    </w:p>
    <w:p w:rsidR="00597BDF" w:rsidRPr="00597BDF" w:rsidRDefault="006D6065" w:rsidP="006D606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597BDF" w:rsidRPr="006D6065">
        <w:rPr>
          <w:rFonts w:ascii="Times New Roman" w:eastAsia="Calibri" w:hAnsi="Times New Roman" w:cs="Times New Roman"/>
          <w:sz w:val="26"/>
          <w:szCs w:val="26"/>
          <w:lang w:eastAsia="ru-RU"/>
        </w:rPr>
        <w:t>В 202</w:t>
      </w:r>
      <w:r w:rsidRPr="006D6065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597BDF" w:rsidRPr="006D60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потери районного бюджета сложились в сумме </w:t>
      </w:r>
      <w:r w:rsidRPr="006D6065">
        <w:rPr>
          <w:rFonts w:ascii="Times New Roman" w:eastAsia="Calibri" w:hAnsi="Times New Roman" w:cs="Times New Roman"/>
          <w:sz w:val="26"/>
          <w:szCs w:val="26"/>
          <w:lang w:eastAsia="ru-RU"/>
        </w:rPr>
        <w:t>10334,9</w:t>
      </w:r>
      <w:r w:rsidR="009F10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</w:t>
      </w:r>
      <w:r w:rsidRPr="006D60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том числе </w:t>
      </w:r>
      <w:r w:rsidR="00597BDF" w:rsidRPr="006D6065">
        <w:rPr>
          <w:rFonts w:ascii="Times New Roman" w:eastAsia="Calibri" w:hAnsi="Times New Roman" w:cs="Times New Roman"/>
          <w:sz w:val="26"/>
          <w:szCs w:val="26"/>
          <w:lang w:eastAsia="ru-RU"/>
        </w:rPr>
        <w:t>не поступившие средства по  арендному землепользованию</w:t>
      </w:r>
      <w:r w:rsidRPr="006D6065">
        <w:rPr>
          <w:rFonts w:ascii="Times New Roman" w:eastAsia="Calibri" w:hAnsi="Times New Roman" w:cs="Times New Roman"/>
          <w:sz w:val="26"/>
          <w:szCs w:val="26"/>
          <w:lang w:eastAsia="ru-RU"/>
        </w:rPr>
        <w:t>-8167,9тыс. рублей</w:t>
      </w:r>
      <w:r w:rsidR="00A128BE">
        <w:rPr>
          <w:rFonts w:ascii="Times New Roman" w:eastAsia="Calibri" w:hAnsi="Times New Roman" w:cs="Times New Roman"/>
          <w:sz w:val="26"/>
          <w:szCs w:val="26"/>
          <w:lang w:eastAsia="ru-RU"/>
        </w:rPr>
        <w:t>, что составляет 54,7% к начисленной сумме арендной платы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7BDF" w:rsidRPr="007414FD" w:rsidRDefault="00A128BE" w:rsidP="00597BDF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14FD">
        <w:rPr>
          <w:rFonts w:ascii="Times New Roman" w:eastAsia="Calibri" w:hAnsi="Times New Roman" w:cs="Times New Roman"/>
          <w:sz w:val="26"/>
          <w:szCs w:val="26"/>
          <w:lang w:eastAsia="ru-RU"/>
        </w:rPr>
        <w:t>2.1.</w:t>
      </w:r>
      <w:r w:rsidR="00597BDF" w:rsidRPr="007414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414FD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597BDF" w:rsidRPr="007414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асходы составили </w:t>
      </w:r>
      <w:r w:rsidRPr="007414FD">
        <w:rPr>
          <w:rFonts w:ascii="Times New Roman" w:eastAsia="Calibri" w:hAnsi="Times New Roman" w:cs="Times New Roman"/>
          <w:sz w:val="26"/>
          <w:szCs w:val="26"/>
          <w:lang w:eastAsia="ru-RU"/>
        </w:rPr>
        <w:t>1287567,1</w:t>
      </w:r>
      <w:r w:rsidR="00597BDF" w:rsidRPr="007414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 (96,</w:t>
      </w:r>
      <w:r w:rsidR="007414FD" w:rsidRPr="007414FD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597BDF" w:rsidRPr="007414FD">
        <w:rPr>
          <w:rFonts w:ascii="Times New Roman" w:eastAsia="Calibri" w:hAnsi="Times New Roman" w:cs="Times New Roman"/>
          <w:sz w:val="26"/>
          <w:szCs w:val="26"/>
          <w:lang w:eastAsia="ru-RU"/>
        </w:rPr>
        <w:t>%).</w:t>
      </w:r>
    </w:p>
    <w:p w:rsidR="00597BDF" w:rsidRPr="007414FD" w:rsidRDefault="00597BDF" w:rsidP="00597BDF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4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</w:t>
      </w:r>
      <w:r w:rsidR="007414FD" w:rsidRPr="007414F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41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расходы бюджета увеличились на </w:t>
      </w:r>
      <w:r w:rsidR="007414FD" w:rsidRPr="007414FD">
        <w:rPr>
          <w:rFonts w:ascii="Times New Roman" w:eastAsia="Times New Roman" w:hAnsi="Times New Roman" w:cs="Times New Roman"/>
          <w:sz w:val="26"/>
          <w:szCs w:val="26"/>
          <w:lang w:eastAsia="ru-RU"/>
        </w:rPr>
        <w:t>113757,9</w:t>
      </w:r>
      <w:r w:rsidRPr="00741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на 9,</w:t>
      </w:r>
      <w:r w:rsidR="007414FD" w:rsidRPr="007414F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414FD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230CD" w:rsidRPr="00215E89" w:rsidRDefault="005230CD" w:rsidP="00523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15E8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Как следует из сведений об исполнении бюджета по ГАБС форм 0503164, а также  пояснительной записки отчета об исполнении консолидированного бюджета неисполнением бюджетных назначений явилось отражение экономии использования бюджетных средств, в результате проведения конкурсных процедур, длительностью проведения конкурсных процедур и использование бюджетных средств по фактической потребности, а также не освоение средств субсидии по развитию туристско-рекреационных зон по причине несостоявшихся конкурсных процедур в размере 170000,0 тыс. рублей; не поступление безвозмездных поступлений от ООО «Сибуголь» по Соглашению в размере 3917,0 тыс. рублей.</w:t>
      </w:r>
    </w:p>
    <w:p w:rsidR="00597BDF" w:rsidRPr="007414FD" w:rsidRDefault="007414FD" w:rsidP="007414FD">
      <w:pPr>
        <w:suppressAutoHyphens/>
        <w:spacing w:before="28"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  </w:t>
      </w:r>
      <w:r w:rsidR="00597BDF" w:rsidRPr="007414FD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На социально-культурную сферу из районного бюджета было направлено </w:t>
      </w:r>
      <w:r w:rsidRPr="007414FD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63,5</w:t>
      </w:r>
      <w:r w:rsidR="00597BDF" w:rsidRPr="007414FD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% объёма расходов районного бюджета, таким образом, структура бюджета сохранила социальную направленность. </w:t>
      </w:r>
    </w:p>
    <w:p w:rsidR="00597BDF" w:rsidRPr="00F32BBA" w:rsidRDefault="00597BDF" w:rsidP="00597BDF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объем неисполненных бюджетных назначений сложился по </w:t>
      </w:r>
      <w:r w:rsidR="00F32BBA" w:rsidRPr="00F32BB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района 85,8%</w:t>
      </w:r>
      <w:r w:rsidRPr="00F32BBA">
        <w:rPr>
          <w:rFonts w:ascii="Times New Roman" w:eastAsia="Times New Roman" w:hAnsi="Times New Roman" w:cs="Times New Roman"/>
          <w:sz w:val="26"/>
          <w:szCs w:val="26"/>
          <w:lang w:eastAsia="ru-RU"/>
        </w:rPr>
        <w:t>, МКУ «УИЗИЗ» -</w:t>
      </w:r>
      <w:r w:rsidR="00F32BBA" w:rsidRPr="00F32BBA">
        <w:rPr>
          <w:rFonts w:ascii="Times New Roman" w:eastAsia="Times New Roman" w:hAnsi="Times New Roman" w:cs="Times New Roman"/>
          <w:sz w:val="26"/>
          <w:szCs w:val="26"/>
          <w:lang w:eastAsia="ru-RU"/>
        </w:rPr>
        <w:t>44,1%</w:t>
      </w:r>
      <w:r w:rsidRPr="00F32B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7BDF" w:rsidRPr="00832DB3" w:rsidRDefault="00597BDF" w:rsidP="0059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2DB3">
        <w:rPr>
          <w:rFonts w:ascii="Times New Roman" w:hAnsi="Times New Roman" w:cs="Times New Roman"/>
          <w:sz w:val="26"/>
          <w:szCs w:val="26"/>
        </w:rPr>
        <w:t xml:space="preserve">  Расходы на реализацию </w:t>
      </w:r>
      <w:r w:rsidR="00832DB3" w:rsidRPr="00832DB3">
        <w:rPr>
          <w:rFonts w:ascii="Times New Roman" w:hAnsi="Times New Roman" w:cs="Times New Roman"/>
          <w:sz w:val="26"/>
          <w:szCs w:val="26"/>
        </w:rPr>
        <w:t>5</w:t>
      </w:r>
      <w:r w:rsidRPr="00832DB3">
        <w:rPr>
          <w:rFonts w:ascii="Times New Roman" w:hAnsi="Times New Roman" w:cs="Times New Roman"/>
          <w:sz w:val="26"/>
          <w:szCs w:val="26"/>
        </w:rPr>
        <w:t>-ми региональных проектов в 202</w:t>
      </w:r>
      <w:r w:rsidR="00832DB3" w:rsidRPr="00832DB3">
        <w:rPr>
          <w:rFonts w:ascii="Times New Roman" w:hAnsi="Times New Roman" w:cs="Times New Roman"/>
          <w:sz w:val="26"/>
          <w:szCs w:val="26"/>
        </w:rPr>
        <w:t>1</w:t>
      </w:r>
      <w:r w:rsidRPr="00832DB3">
        <w:rPr>
          <w:rFonts w:ascii="Times New Roman" w:hAnsi="Times New Roman" w:cs="Times New Roman"/>
          <w:sz w:val="26"/>
          <w:szCs w:val="26"/>
        </w:rPr>
        <w:t xml:space="preserve"> году составили </w:t>
      </w:r>
      <w:r w:rsidR="00832DB3" w:rsidRPr="00832DB3">
        <w:rPr>
          <w:rFonts w:ascii="Times New Roman" w:hAnsi="Times New Roman" w:cs="Times New Roman"/>
          <w:sz w:val="26"/>
          <w:szCs w:val="26"/>
        </w:rPr>
        <w:t>21806,1</w:t>
      </w:r>
      <w:r w:rsidRPr="00832DB3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832DB3" w:rsidRPr="00832DB3">
        <w:rPr>
          <w:rFonts w:ascii="Times New Roman" w:hAnsi="Times New Roman" w:cs="Times New Roman"/>
          <w:sz w:val="26"/>
          <w:szCs w:val="26"/>
        </w:rPr>
        <w:t>99,9</w:t>
      </w:r>
      <w:r w:rsidRPr="00832DB3">
        <w:rPr>
          <w:rFonts w:ascii="Times New Roman" w:hAnsi="Times New Roman" w:cs="Times New Roman"/>
          <w:sz w:val="26"/>
          <w:szCs w:val="26"/>
        </w:rPr>
        <w:t>% от уточненных бюджетных назначений.</w:t>
      </w:r>
    </w:p>
    <w:p w:rsidR="00832DB3" w:rsidRPr="00832DB3" w:rsidRDefault="00597BDF" w:rsidP="0083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расходов бюджета на исполнение муниципальных программ согласно Отчету составил </w:t>
      </w:r>
      <w:r w:rsidR="00832DB3" w:rsidRP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>1088011,9</w:t>
      </w:r>
      <w:r w:rsidRP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832DB3" w:rsidRP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2DB3" w:rsidRP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32DB3" w:rsidRPr="00832D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тмечается высокий процент выполнения по всем муниципальным программам (от 97,7% до 100,0%), за исключением муниципальной программы </w:t>
      </w:r>
      <w:r w:rsidR="00832DB3" w:rsidRPr="00832DB3">
        <w:rPr>
          <w:rFonts w:ascii="Times New Roman" w:eastAsia="Times New Roman" w:hAnsi="Times New Roman" w:cs="Times New Roman"/>
          <w:sz w:val="26"/>
          <w:szCs w:val="26"/>
          <w:lang w:eastAsia="ru-RU"/>
        </w:rPr>
        <w:t>«Укрепление общественного здоровья на территории Балахтинского района»-59,8%.</w:t>
      </w:r>
    </w:p>
    <w:p w:rsidR="00832DB3" w:rsidRPr="000456A2" w:rsidRDefault="00832DB3" w:rsidP="0083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Непрограммные расходы составили 199555,2 тыс. рублей или 95,1% от уточненных бюджетных назначений.</w:t>
      </w:r>
    </w:p>
    <w:p w:rsidR="00832DB3" w:rsidRPr="000456A2" w:rsidRDefault="00832DB3" w:rsidP="0083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456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году по сравнению с 2020 годом доля непрограммных расходов в общем объеме расходов районного бюджета уменьшилась на 0,7 процентных пункта и составила 15,5%.</w:t>
      </w:r>
    </w:p>
    <w:p w:rsidR="00832DB3" w:rsidRPr="00FC051E" w:rsidRDefault="00832DB3" w:rsidP="00832DB3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оля исполненных расходов районного бюджета </w:t>
      </w:r>
      <w:r w:rsidR="00CF2A61">
        <w:rPr>
          <w:rFonts w:ascii="Times New Roman" w:hAnsi="Times New Roman" w:cs="Times New Roman"/>
          <w:color w:val="000000"/>
          <w:sz w:val="26"/>
          <w:szCs w:val="26"/>
        </w:rPr>
        <w:t>по видам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 расходов</w:t>
      </w:r>
      <w:r w:rsidR="00CF2A61">
        <w:rPr>
          <w:rFonts w:ascii="Times New Roman" w:hAnsi="Times New Roman" w:cs="Times New Roman"/>
          <w:color w:val="000000"/>
          <w:sz w:val="26"/>
          <w:szCs w:val="26"/>
        </w:rPr>
        <w:t xml:space="preserve"> распределена на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32DB3" w:rsidRPr="00FC051E" w:rsidRDefault="00832DB3" w:rsidP="00832D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051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</w:t>
      </w:r>
      <w:r w:rsidR="00CF2A61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FC051E">
        <w:rPr>
          <w:rFonts w:ascii="Times New Roman" w:hAnsi="Times New Roman" w:cs="Times New Roman"/>
          <w:sz w:val="26"/>
          <w:szCs w:val="26"/>
        </w:rPr>
        <w:t>редоставление субсидий бюджетным, автономным учреждениям и иным некоммерческим организациям (вид расходов 600) -58,8% или 757400,7 тыс. рублей;</w:t>
      </w:r>
    </w:p>
    <w:p w:rsidR="00832DB3" w:rsidRPr="00FC051E" w:rsidRDefault="00832DB3" w:rsidP="00832DB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51E">
        <w:rPr>
          <w:rFonts w:ascii="Times New Roman" w:hAnsi="Times New Roman" w:cs="Times New Roman"/>
          <w:color w:val="000000"/>
          <w:sz w:val="26"/>
          <w:szCs w:val="26"/>
        </w:rPr>
        <w:t>- выплаты персоналу в целях обеспечения выполнения функций муниципальными органами, казенными учреждениями (вид расходов 100) – 9,1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>или 117439,1 тыс. руб.;</w:t>
      </w:r>
    </w:p>
    <w:p w:rsidR="00832DB3" w:rsidRPr="00FC051E" w:rsidRDefault="00832DB3" w:rsidP="009F107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51E">
        <w:rPr>
          <w:rFonts w:ascii="Times New Roman" w:hAnsi="Times New Roman" w:cs="Times New Roman"/>
          <w:color w:val="000000"/>
          <w:sz w:val="26"/>
          <w:szCs w:val="26"/>
        </w:rPr>
        <w:t>-  межбюджетные трансферты (вид расходов 500) -  20,0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% </w:t>
      </w:r>
      <w:r w:rsidRPr="00FC051E">
        <w:rPr>
          <w:rFonts w:ascii="Times New Roman" w:hAnsi="Times New Roman" w:cs="Times New Roman"/>
          <w:color w:val="000000"/>
          <w:sz w:val="26"/>
          <w:szCs w:val="26"/>
        </w:rPr>
        <w:t xml:space="preserve">или 258719,6 тыс. руб. </w:t>
      </w:r>
    </w:p>
    <w:p w:rsidR="00832DB3" w:rsidRPr="00FC051E" w:rsidRDefault="00832DB3" w:rsidP="009F107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51E">
        <w:rPr>
          <w:rFonts w:ascii="Times New Roman" w:hAnsi="Times New Roman" w:cs="Times New Roman"/>
          <w:color w:val="000000"/>
          <w:sz w:val="26"/>
          <w:szCs w:val="26"/>
        </w:rPr>
        <w:t>- иные бюджетные ассигнования (вид расходов 800) – 5,8 % или 75123,3 тыс. руб.;</w:t>
      </w:r>
    </w:p>
    <w:p w:rsidR="00832DB3" w:rsidRDefault="00832DB3" w:rsidP="009F107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51E">
        <w:rPr>
          <w:rFonts w:ascii="Times New Roman" w:hAnsi="Times New Roman" w:cs="Times New Roman"/>
          <w:color w:val="000000"/>
          <w:sz w:val="26"/>
          <w:szCs w:val="26"/>
        </w:rPr>
        <w:t>-  закупка товаров, работ и услуг для обеспечения муниципальных нужд (вид расходов 200) -  5,5 % или 70823,8 тыс. руб.</w:t>
      </w:r>
    </w:p>
    <w:p w:rsidR="00597BDF" w:rsidRPr="00A128BE" w:rsidRDefault="00597BDF" w:rsidP="00597BDF">
      <w:pPr>
        <w:spacing w:after="0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A128B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A128BE">
        <w:rPr>
          <w:rFonts w:ascii="Times New Roman" w:hAnsi="Times New Roman" w:cs="Times New Roman"/>
          <w:sz w:val="26"/>
          <w:szCs w:val="26"/>
        </w:rPr>
        <w:t>В нарушение ст. 34 Бюджетного кодекса Российской Федерации не соблюден принцип ре</w:t>
      </w:r>
      <w:r w:rsidR="00CF2A61">
        <w:rPr>
          <w:rFonts w:ascii="Times New Roman" w:hAnsi="Times New Roman" w:cs="Times New Roman"/>
          <w:sz w:val="26"/>
          <w:szCs w:val="26"/>
        </w:rPr>
        <w:t xml:space="preserve">зультативности и эффективности </w:t>
      </w:r>
      <w:r w:rsidRPr="00A128BE">
        <w:rPr>
          <w:rFonts w:ascii="Times New Roman" w:hAnsi="Times New Roman" w:cs="Times New Roman"/>
          <w:sz w:val="26"/>
          <w:szCs w:val="26"/>
        </w:rPr>
        <w:t>использования средств районного бюджета при исполнении бюджета за 202</w:t>
      </w:r>
      <w:r w:rsidR="00171220" w:rsidRPr="00A128BE">
        <w:rPr>
          <w:rFonts w:ascii="Times New Roman" w:hAnsi="Times New Roman" w:cs="Times New Roman"/>
          <w:sz w:val="26"/>
          <w:szCs w:val="26"/>
        </w:rPr>
        <w:t>1</w:t>
      </w:r>
      <w:r w:rsidR="009F1079">
        <w:rPr>
          <w:rFonts w:ascii="Times New Roman" w:hAnsi="Times New Roman" w:cs="Times New Roman"/>
          <w:sz w:val="26"/>
          <w:szCs w:val="26"/>
        </w:rPr>
        <w:t xml:space="preserve"> год направленных </w:t>
      </w:r>
      <w:r w:rsidRPr="00A128BE">
        <w:rPr>
          <w:rFonts w:ascii="Times New Roman" w:hAnsi="Times New Roman" w:cs="Times New Roman"/>
          <w:sz w:val="26"/>
          <w:szCs w:val="26"/>
        </w:rPr>
        <w:t xml:space="preserve">на уплату </w:t>
      </w:r>
      <w:r w:rsidR="00A128BE" w:rsidRPr="00A128BE">
        <w:rPr>
          <w:rFonts w:ascii="Times New Roman" w:hAnsi="Times New Roman" w:cs="Times New Roman"/>
          <w:sz w:val="26"/>
          <w:szCs w:val="26"/>
        </w:rPr>
        <w:t>штрафных санкций</w:t>
      </w:r>
      <w:r w:rsidRPr="00A128BE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A128BE" w:rsidRPr="00A128BE">
        <w:rPr>
          <w:rFonts w:ascii="Times New Roman" w:hAnsi="Times New Roman" w:cs="Times New Roman"/>
          <w:sz w:val="26"/>
          <w:szCs w:val="26"/>
        </w:rPr>
        <w:t>9631,2</w:t>
      </w:r>
      <w:r w:rsidRPr="00A128BE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597BDF" w:rsidRPr="00A128BE" w:rsidRDefault="00597BDF" w:rsidP="00597BDF">
      <w:pPr>
        <w:suppressAutoHyphens/>
        <w:spacing w:before="28"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A128BE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    Средства резервного фонда, не использовались по причине отсутствия чрезвычайных ситуаций.</w:t>
      </w:r>
    </w:p>
    <w:p w:rsidR="00597BDF" w:rsidRDefault="00597BDF" w:rsidP="00597BDF">
      <w:pPr>
        <w:suppressAutoHyphens/>
        <w:spacing w:before="28"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128BE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     Бюджет исполнен с </w:t>
      </w:r>
      <w:r w:rsidR="006F4C40" w:rsidRPr="00A128BE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дефицитом</w:t>
      </w:r>
      <w:r w:rsidRPr="00A128BE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бюджета в размере </w:t>
      </w:r>
      <w:r w:rsidR="006F4C40" w:rsidRPr="00A128BE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8752,5</w:t>
      </w:r>
      <w:r w:rsidR="009F107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A128BE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тыс. рублей</w:t>
      </w:r>
      <w:r w:rsidRPr="00A128B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1079" w:rsidRPr="00A128BE" w:rsidRDefault="009F1079" w:rsidP="00597BDF">
      <w:pPr>
        <w:suppressAutoHyphens/>
        <w:spacing w:before="28"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Источниками дефицита бюджета является изменение остатков на счетах бюджета и бюджетные кредиты от других бюджетов бюджетной системы. </w:t>
      </w:r>
    </w:p>
    <w:p w:rsidR="009F1079" w:rsidRPr="007F1D2A" w:rsidRDefault="00597BDF" w:rsidP="009F1079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597BDF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3</w:t>
      </w:r>
      <w:r w:rsidR="009F1079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.</w:t>
      </w:r>
      <w:r w:rsidR="009F1079" w:rsidRPr="009F1079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</w:t>
      </w:r>
      <w:r w:rsidR="009F1079" w:rsidRPr="007F1D2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Кредиторская задолженность на конец года сложилась в сумме 4908,6 тыс. рублей без учета бюджетного кредита и расчетов по налоговым доходам, в сравнении с прошлым периодом кредиторская задолженность уменьшилась более чем в 2 раза (на конец прошлого периода кредиторская задолженность составляла-10484,7 тыс. рублей).</w:t>
      </w:r>
    </w:p>
    <w:p w:rsidR="00597BDF" w:rsidRPr="00A128BE" w:rsidRDefault="00597BDF" w:rsidP="009F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 состоянию на 01.01.2020 муниципальный долг составил </w:t>
      </w:r>
      <w:r w:rsidR="00A128BE"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>15200,0</w:t>
      </w:r>
      <w:r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A128BE"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</w:t>
      </w:r>
      <w:r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прошлогоднего показателя на </w:t>
      </w:r>
      <w:r w:rsidR="00A128BE"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>700,0</w:t>
      </w:r>
      <w:r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97BDF" w:rsidRPr="00A128BE" w:rsidRDefault="00A128BE" w:rsidP="0059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597BDF"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на обслуживание муниципального долга в 2020 году составили </w:t>
      </w:r>
      <w:r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>1,6</w:t>
      </w:r>
      <w:r w:rsidR="00597BDF"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 рублей, что соответствует требованиям статьи 111 БК РФ. </w:t>
      </w:r>
    </w:p>
    <w:p w:rsidR="00597BDF" w:rsidRPr="00A128BE" w:rsidRDefault="00597BDF" w:rsidP="00597BDF">
      <w:pPr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A128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12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Остаток средств на счетах по учету средств бюджета по состоянию на 01.01.202</w:t>
      </w:r>
      <w:r w:rsidR="00A128BE" w:rsidRPr="00A12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A12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составил </w:t>
      </w:r>
      <w:r w:rsidR="00A128BE" w:rsidRPr="00A12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5096,0</w:t>
      </w:r>
      <w:r w:rsidRPr="00A12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</w:t>
      </w:r>
      <w:r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целевые (субвенции, субсидии, иные межбюджетные трансферты) – </w:t>
      </w:r>
      <w:r w:rsidR="00A128BE"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>151,0</w:t>
      </w:r>
      <w:r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свободные остатки средств – </w:t>
      </w:r>
      <w:r w:rsidR="00A128BE"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>4945,0</w:t>
      </w:r>
      <w:r w:rsidRPr="00A12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97BDF" w:rsidRPr="009F1079" w:rsidRDefault="00597BDF" w:rsidP="00597B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Toc196977964"/>
      <w:bookmarkStart w:id="5" w:name="_Toc418160566"/>
      <w:bookmarkStart w:id="6" w:name="_Toc418161372"/>
      <w:bookmarkStart w:id="7" w:name="_Toc418162021"/>
      <w:r w:rsidRPr="009F10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Предложения:</w:t>
      </w:r>
      <w:bookmarkEnd w:id="4"/>
      <w:bookmarkEnd w:id="5"/>
      <w:bookmarkEnd w:id="6"/>
      <w:bookmarkEnd w:id="7"/>
    </w:p>
    <w:p w:rsidR="00597BDF" w:rsidRPr="009F1079" w:rsidRDefault="00597BDF" w:rsidP="0059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10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Балахтинского района </w:t>
      </w:r>
    </w:p>
    <w:p w:rsidR="00597BDF" w:rsidRPr="009F1079" w:rsidRDefault="00597BDF" w:rsidP="0059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0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меры по недопущению неэффективного использования средств районного бюджета</w:t>
      </w:r>
    </w:p>
    <w:p w:rsidR="00597BDF" w:rsidRPr="009F1079" w:rsidRDefault="00597BDF" w:rsidP="0059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10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МКУ УИЗИЗ</w:t>
      </w:r>
    </w:p>
    <w:p w:rsidR="00597BDF" w:rsidRPr="009F1079" w:rsidRDefault="00DA253C" w:rsidP="00597BDF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97BDF" w:rsidRPr="009F10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меры по своевременному взысканию недоимки по неналоговым доходам</w:t>
      </w:r>
    </w:p>
    <w:p w:rsidR="00597BDF" w:rsidRPr="009F1079" w:rsidRDefault="00597BDF" w:rsidP="00597BDF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0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Главным администраторам бюджетных средств</w:t>
      </w:r>
    </w:p>
    <w:p w:rsidR="00597BDF" w:rsidRPr="009F1079" w:rsidRDefault="00DA253C" w:rsidP="00597BDF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97BDF" w:rsidRPr="009F1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меры по устранению нарушений и недостатков при составлении годовой бюджетной отчетности </w:t>
      </w:r>
    </w:p>
    <w:p w:rsidR="00597BDF" w:rsidRPr="009F1079" w:rsidRDefault="00597BDF" w:rsidP="00597B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10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Балахтинскому районному Совету депутатов</w:t>
      </w:r>
    </w:p>
    <w:p w:rsidR="00597BDF" w:rsidRPr="009F1079" w:rsidRDefault="00597BDF" w:rsidP="009F10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2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F10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Рассмотреть заключение по результатам внешней проверки отчета об исполнения бюджета за 202</w:t>
      </w:r>
      <w:r w:rsidR="009F10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F1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рекомендовать к утверждению.</w:t>
      </w:r>
    </w:p>
    <w:p w:rsidR="009F1079" w:rsidRDefault="00597BDF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_GoBack"/>
      <w:bookmarkEnd w:id="8"/>
      <w:r w:rsidRPr="009F1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Контрольно-счетного органа </w:t>
      </w:r>
    </w:p>
    <w:p w:rsidR="00597BDF" w:rsidRPr="009F1079" w:rsidRDefault="009F1079" w:rsidP="0059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Балахтинского района                                         </w:t>
      </w:r>
      <w:r w:rsidR="00597BDF" w:rsidRPr="009F1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97BDF" w:rsidRPr="009F1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Г.К.Хиревич</w:t>
      </w:r>
    </w:p>
    <w:sectPr w:rsidR="00597BDF" w:rsidRPr="009F1079" w:rsidSect="00CF71DE">
      <w:headerReference w:type="even" r:id="rId10"/>
      <w:pgSz w:w="11906" w:h="16838"/>
      <w:pgMar w:top="899" w:right="85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AB" w:rsidRDefault="003C25AB">
      <w:pPr>
        <w:spacing w:after="0" w:line="240" w:lineRule="auto"/>
      </w:pPr>
      <w:r>
        <w:separator/>
      </w:r>
    </w:p>
  </w:endnote>
  <w:endnote w:type="continuationSeparator" w:id="0">
    <w:p w:rsidR="003C25AB" w:rsidRDefault="003C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AB" w:rsidRDefault="003C25AB">
      <w:pPr>
        <w:spacing w:after="0" w:line="240" w:lineRule="auto"/>
      </w:pPr>
      <w:r>
        <w:separator/>
      </w:r>
    </w:p>
  </w:footnote>
  <w:footnote w:type="continuationSeparator" w:id="0">
    <w:p w:rsidR="003C25AB" w:rsidRDefault="003C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B68" w:rsidRDefault="00C22B68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71D"/>
    <w:multiLevelType w:val="hybridMultilevel"/>
    <w:tmpl w:val="8640B8E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402E"/>
    <w:multiLevelType w:val="singleLevel"/>
    <w:tmpl w:val="DDCA1FF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 w15:restartNumberingAfterBreak="0">
    <w:nsid w:val="0E7607CF"/>
    <w:multiLevelType w:val="hybridMultilevel"/>
    <w:tmpl w:val="AA7E177E"/>
    <w:lvl w:ilvl="0" w:tplc="AE7E9E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8A74DB"/>
    <w:multiLevelType w:val="hybridMultilevel"/>
    <w:tmpl w:val="9C4C95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AE5011"/>
    <w:multiLevelType w:val="hybridMultilevel"/>
    <w:tmpl w:val="E5BE6356"/>
    <w:lvl w:ilvl="0" w:tplc="637C174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7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  <w:rPr>
        <w:rFonts w:cs="Times New Roman"/>
      </w:rPr>
    </w:lvl>
  </w:abstractNum>
  <w:abstractNum w:abstractNumId="6" w15:restartNumberingAfterBreak="0">
    <w:nsid w:val="5F7309F3"/>
    <w:multiLevelType w:val="hybridMultilevel"/>
    <w:tmpl w:val="297AA320"/>
    <w:lvl w:ilvl="0" w:tplc="3D2A062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AA211EA"/>
    <w:multiLevelType w:val="hybridMultilevel"/>
    <w:tmpl w:val="64D4AFAC"/>
    <w:lvl w:ilvl="0" w:tplc="4BA0A6A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4CE501A"/>
    <w:multiLevelType w:val="hybridMultilevel"/>
    <w:tmpl w:val="FD1A6FDA"/>
    <w:lvl w:ilvl="0" w:tplc="3CC6E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93"/>
    <w:rsid w:val="00026030"/>
    <w:rsid w:val="00032ECF"/>
    <w:rsid w:val="000456A2"/>
    <w:rsid w:val="000500AD"/>
    <w:rsid w:val="000571F5"/>
    <w:rsid w:val="00060324"/>
    <w:rsid w:val="00064C85"/>
    <w:rsid w:val="00077B2C"/>
    <w:rsid w:val="000B0D3E"/>
    <w:rsid w:val="000C17DE"/>
    <w:rsid w:val="000E2454"/>
    <w:rsid w:val="00107E9B"/>
    <w:rsid w:val="00112F03"/>
    <w:rsid w:val="00136F88"/>
    <w:rsid w:val="00163993"/>
    <w:rsid w:val="00171220"/>
    <w:rsid w:val="00176BAC"/>
    <w:rsid w:val="00183EB7"/>
    <w:rsid w:val="00184A27"/>
    <w:rsid w:val="001A5E21"/>
    <w:rsid w:val="001D0C1B"/>
    <w:rsid w:val="001D5EBC"/>
    <w:rsid w:val="001F1D0D"/>
    <w:rsid w:val="0021220C"/>
    <w:rsid w:val="00215E89"/>
    <w:rsid w:val="00221041"/>
    <w:rsid w:val="00223A89"/>
    <w:rsid w:val="00287CA6"/>
    <w:rsid w:val="002911AC"/>
    <w:rsid w:val="00293D41"/>
    <w:rsid w:val="002C1CA2"/>
    <w:rsid w:val="002E12EA"/>
    <w:rsid w:val="002F0086"/>
    <w:rsid w:val="002F2E19"/>
    <w:rsid w:val="002F371A"/>
    <w:rsid w:val="002F583B"/>
    <w:rsid w:val="00305113"/>
    <w:rsid w:val="003552FB"/>
    <w:rsid w:val="0038211F"/>
    <w:rsid w:val="003A0084"/>
    <w:rsid w:val="003A6EC3"/>
    <w:rsid w:val="003B0724"/>
    <w:rsid w:val="003B20BA"/>
    <w:rsid w:val="003B69EB"/>
    <w:rsid w:val="003C25AB"/>
    <w:rsid w:val="003D385D"/>
    <w:rsid w:val="00407B04"/>
    <w:rsid w:val="00431C64"/>
    <w:rsid w:val="004368C5"/>
    <w:rsid w:val="004627CC"/>
    <w:rsid w:val="00462C52"/>
    <w:rsid w:val="0048118A"/>
    <w:rsid w:val="00494A30"/>
    <w:rsid w:val="004B472C"/>
    <w:rsid w:val="004C3FF1"/>
    <w:rsid w:val="004D2739"/>
    <w:rsid w:val="00501548"/>
    <w:rsid w:val="005230CD"/>
    <w:rsid w:val="00523EE1"/>
    <w:rsid w:val="0053364C"/>
    <w:rsid w:val="00544CCA"/>
    <w:rsid w:val="00597BDF"/>
    <w:rsid w:val="005C1FBC"/>
    <w:rsid w:val="005D6777"/>
    <w:rsid w:val="005F71AB"/>
    <w:rsid w:val="00645952"/>
    <w:rsid w:val="00654D9D"/>
    <w:rsid w:val="00655874"/>
    <w:rsid w:val="0067169C"/>
    <w:rsid w:val="00676F05"/>
    <w:rsid w:val="0068466C"/>
    <w:rsid w:val="00697A1F"/>
    <w:rsid w:val="006A2CAA"/>
    <w:rsid w:val="006B400B"/>
    <w:rsid w:val="006B41FD"/>
    <w:rsid w:val="006B7E7D"/>
    <w:rsid w:val="006D6065"/>
    <w:rsid w:val="006E6199"/>
    <w:rsid w:val="006F4C40"/>
    <w:rsid w:val="00727D6A"/>
    <w:rsid w:val="007318C6"/>
    <w:rsid w:val="0073685D"/>
    <w:rsid w:val="007414FD"/>
    <w:rsid w:val="007516D2"/>
    <w:rsid w:val="007D33E6"/>
    <w:rsid w:val="007F1D2A"/>
    <w:rsid w:val="007F74D4"/>
    <w:rsid w:val="00832DB3"/>
    <w:rsid w:val="00834192"/>
    <w:rsid w:val="00840809"/>
    <w:rsid w:val="008568A1"/>
    <w:rsid w:val="008E6850"/>
    <w:rsid w:val="008F3D19"/>
    <w:rsid w:val="00901959"/>
    <w:rsid w:val="00913AF3"/>
    <w:rsid w:val="00967CCF"/>
    <w:rsid w:val="00972B16"/>
    <w:rsid w:val="00976E3E"/>
    <w:rsid w:val="009A6478"/>
    <w:rsid w:val="009A6B91"/>
    <w:rsid w:val="009C3C00"/>
    <w:rsid w:val="009F1079"/>
    <w:rsid w:val="009F5A02"/>
    <w:rsid w:val="00A128BE"/>
    <w:rsid w:val="00A17334"/>
    <w:rsid w:val="00A92351"/>
    <w:rsid w:val="00A97527"/>
    <w:rsid w:val="00A97F2A"/>
    <w:rsid w:val="00AB664A"/>
    <w:rsid w:val="00AC159D"/>
    <w:rsid w:val="00AD1578"/>
    <w:rsid w:val="00AD3574"/>
    <w:rsid w:val="00AE0E4F"/>
    <w:rsid w:val="00AF3C03"/>
    <w:rsid w:val="00AF4443"/>
    <w:rsid w:val="00B019A7"/>
    <w:rsid w:val="00B15519"/>
    <w:rsid w:val="00B364B4"/>
    <w:rsid w:val="00B4621C"/>
    <w:rsid w:val="00B80CD7"/>
    <w:rsid w:val="00B959B6"/>
    <w:rsid w:val="00B95BF9"/>
    <w:rsid w:val="00B96658"/>
    <w:rsid w:val="00BA5FFD"/>
    <w:rsid w:val="00BB4E62"/>
    <w:rsid w:val="00BC49FA"/>
    <w:rsid w:val="00BC6B77"/>
    <w:rsid w:val="00BD39E0"/>
    <w:rsid w:val="00BD64E0"/>
    <w:rsid w:val="00BD7A19"/>
    <w:rsid w:val="00BE79D4"/>
    <w:rsid w:val="00C21B1C"/>
    <w:rsid w:val="00C22B68"/>
    <w:rsid w:val="00C50984"/>
    <w:rsid w:val="00C61A00"/>
    <w:rsid w:val="00CA133D"/>
    <w:rsid w:val="00CB0C58"/>
    <w:rsid w:val="00CD69F9"/>
    <w:rsid w:val="00CE7A27"/>
    <w:rsid w:val="00CF2A61"/>
    <w:rsid w:val="00CF71DE"/>
    <w:rsid w:val="00D11CEB"/>
    <w:rsid w:val="00D1634E"/>
    <w:rsid w:val="00D63BA1"/>
    <w:rsid w:val="00D82867"/>
    <w:rsid w:val="00D9645E"/>
    <w:rsid w:val="00DA253C"/>
    <w:rsid w:val="00DB3471"/>
    <w:rsid w:val="00DB405D"/>
    <w:rsid w:val="00DD5AEC"/>
    <w:rsid w:val="00E0358D"/>
    <w:rsid w:val="00E11CC1"/>
    <w:rsid w:val="00E2223E"/>
    <w:rsid w:val="00E507B3"/>
    <w:rsid w:val="00E91AFF"/>
    <w:rsid w:val="00EB4C8C"/>
    <w:rsid w:val="00ED339E"/>
    <w:rsid w:val="00ED7F4A"/>
    <w:rsid w:val="00F15A2B"/>
    <w:rsid w:val="00F32BBA"/>
    <w:rsid w:val="00F60EE6"/>
    <w:rsid w:val="00F669E9"/>
    <w:rsid w:val="00F83CC5"/>
    <w:rsid w:val="00F922D6"/>
    <w:rsid w:val="00F96286"/>
    <w:rsid w:val="00FB0AC6"/>
    <w:rsid w:val="00FB61F3"/>
    <w:rsid w:val="00FC051E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A251"/>
  <w15:chartTrackingRefBased/>
  <w15:docId w15:val="{06FAC5C6-8457-48E1-996B-BB17BD64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7BDF"/>
    <w:pPr>
      <w:keepNext/>
      <w:spacing w:after="0" w:line="240" w:lineRule="auto"/>
      <w:ind w:left="-567" w:right="-766"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7BDF"/>
    <w:pPr>
      <w:keepNext/>
      <w:spacing w:after="0" w:line="240" w:lineRule="auto"/>
      <w:ind w:left="-284" w:right="-1192"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BD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7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59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97BDF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597BDF"/>
  </w:style>
  <w:style w:type="paragraph" w:customStyle="1" w:styleId="Style7">
    <w:name w:val="Style7"/>
    <w:basedOn w:val="a"/>
    <w:rsid w:val="00597BDF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597BD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597BDF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97BDF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597BD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597B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97BDF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97BD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97BD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9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597BD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9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97BD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9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97BDF"/>
    <w:rPr>
      <w:rFonts w:ascii="Book Antiqua" w:hAnsi="Book Antiqua" w:cs="Book Antiqua"/>
      <w:b/>
      <w:bCs/>
      <w:sz w:val="20"/>
      <w:szCs w:val="20"/>
    </w:rPr>
  </w:style>
  <w:style w:type="paragraph" w:styleId="a6">
    <w:name w:val="header"/>
    <w:basedOn w:val="a"/>
    <w:link w:val="a7"/>
    <w:rsid w:val="00597B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9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97B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9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97BDF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9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97BD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97B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9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9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59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597B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597B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597BD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597BDF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597BDF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97BDF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rsid w:val="00597B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597B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c">
    <w:name w:val="Стиль"/>
    <w:rsid w:val="0059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597BDF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597BD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597B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97B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97B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597BD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597BD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597BDF"/>
    <w:rPr>
      <w:rFonts w:cs="Times New Roman"/>
      <w:vertAlign w:val="superscript"/>
    </w:rPr>
  </w:style>
  <w:style w:type="paragraph" w:customStyle="1" w:styleId="ConsPlusNonformat">
    <w:name w:val="ConsPlusNonformat"/>
    <w:rsid w:val="00597B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Основной текст_"/>
    <w:link w:val="13"/>
    <w:rsid w:val="00597BDF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597BDF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597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597B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97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97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97B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597BD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f3">
    <w:name w:val="Normal (Web)"/>
    <w:basedOn w:val="a"/>
    <w:rsid w:val="00597BDF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f4">
    <w:name w:val="Strong"/>
    <w:qFormat/>
    <w:rsid w:val="00597BDF"/>
    <w:rPr>
      <w:b/>
      <w:bCs/>
    </w:rPr>
  </w:style>
  <w:style w:type="paragraph" w:styleId="af5">
    <w:name w:val="caption"/>
    <w:basedOn w:val="a"/>
    <w:next w:val="a"/>
    <w:qFormat/>
    <w:rsid w:val="00597BD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qFormat/>
    <w:rsid w:val="00597BD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7">
    <w:name w:val="List Paragraph"/>
    <w:basedOn w:val="a"/>
    <w:link w:val="af8"/>
    <w:uiPriority w:val="34"/>
    <w:qFormat/>
    <w:rsid w:val="00597BD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extbody">
    <w:name w:val="Text body"/>
    <w:basedOn w:val="a"/>
    <w:rsid w:val="00597BDF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f8">
    <w:name w:val="Абзац списка Знак"/>
    <w:link w:val="af7"/>
    <w:uiPriority w:val="34"/>
    <w:locked/>
    <w:rsid w:val="00597B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Налоговые доходы районного бюджета</a:t>
            </a:r>
          </a:p>
        </c:rich>
      </c:tx>
      <c:layout>
        <c:manualLayout>
          <c:xMode val="edge"/>
          <c:yMode val="edge"/>
          <c:x val="0.2201793525809273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</c:v>
                </c:pt>
                <c:pt idx="1">
                  <c:v>Налог на прибыль организаций</c:v>
                </c:pt>
                <c:pt idx="2">
                  <c:v>Налоги на совокупный доход</c:v>
                </c:pt>
                <c:pt idx="3">
                  <c:v>Государственная пошлина </c:v>
                </c:pt>
                <c:pt idx="4">
                  <c:v>Задолженность по отмененным налогам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69350.7</c:v>
                </c:pt>
                <c:pt idx="1">
                  <c:v>11069.7</c:v>
                </c:pt>
                <c:pt idx="2">
                  <c:v>14010</c:v>
                </c:pt>
                <c:pt idx="3">
                  <c:v>2401.1</c:v>
                </c:pt>
                <c:pt idx="4">
                  <c:v>14.1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BB-4AA8-ACDC-7DB4621B29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</c:v>
                </c:pt>
                <c:pt idx="1">
                  <c:v>Налог на прибыль организаций</c:v>
                </c:pt>
                <c:pt idx="2">
                  <c:v>Налоги на совокупный доход</c:v>
                </c:pt>
                <c:pt idx="3">
                  <c:v>Государственная пошлина </c:v>
                </c:pt>
                <c:pt idx="4">
                  <c:v>Задолженность по отмененным налогам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75948.100000000006</c:v>
                </c:pt>
                <c:pt idx="1">
                  <c:v>14857.3</c:v>
                </c:pt>
                <c:pt idx="2">
                  <c:v>24187.1</c:v>
                </c:pt>
                <c:pt idx="3">
                  <c:v>2439</c:v>
                </c:pt>
                <c:pt idx="4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BB-4AA8-ACDC-7DB4621B29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</c:v>
                </c:pt>
                <c:pt idx="1">
                  <c:v>Налог на прибыль организаций</c:v>
                </c:pt>
                <c:pt idx="2">
                  <c:v>Налоги на совокупный доход</c:v>
                </c:pt>
                <c:pt idx="3">
                  <c:v>Государственная пошлина </c:v>
                </c:pt>
                <c:pt idx="4">
                  <c:v>Задолженность по отмененным налогам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BB-4AA8-ACDC-7DB4621B29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87004352"/>
        <c:axId val="387008944"/>
      </c:barChart>
      <c:catAx>
        <c:axId val="38700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008944"/>
        <c:crosses val="autoZero"/>
        <c:auto val="1"/>
        <c:lblAlgn val="ctr"/>
        <c:lblOffset val="100"/>
        <c:noMultiLvlLbl val="0"/>
      </c:catAx>
      <c:valAx>
        <c:axId val="387008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00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Безвозмездные поступления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464630.1</c:v>
                </c:pt>
                <c:pt idx="1">
                  <c:v>147766.5</c:v>
                </c:pt>
                <c:pt idx="2">
                  <c:v>395942.1</c:v>
                </c:pt>
                <c:pt idx="3">
                  <c:v>131247.5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2-4728-80A7-E132BD117A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417836.79999999999</c:v>
                </c:pt>
                <c:pt idx="1">
                  <c:v>215759.1</c:v>
                </c:pt>
                <c:pt idx="2">
                  <c:v>359949.4</c:v>
                </c:pt>
                <c:pt idx="3">
                  <c:v>65924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52-4728-80A7-E132BD117A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952-4728-80A7-E132BD117A3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86380512"/>
        <c:axId val="386379856"/>
      </c:barChart>
      <c:catAx>
        <c:axId val="386380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379856"/>
        <c:crosses val="autoZero"/>
        <c:auto val="1"/>
        <c:lblAlgn val="ctr"/>
        <c:lblOffset val="100"/>
        <c:noMultiLvlLbl val="0"/>
      </c:catAx>
      <c:valAx>
        <c:axId val="3863798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638051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498632983377078"/>
          <c:y val="8.7658730158730172E-2"/>
          <c:w val="0.46964329979585884"/>
          <c:h val="0.669986564179477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Безопасные и качественные автомобильные дороги</c:v>
                </c:pt>
                <c:pt idx="1">
                  <c:v>Цифровая экономика</c:v>
                </c:pt>
                <c:pt idx="3">
                  <c:v>Жилье и городская среда </c:v>
                </c:pt>
                <c:pt idx="4">
                  <c:v>Образование </c:v>
                </c:pt>
                <c:pt idx="5">
                  <c:v>Культура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1192.3</c:v>
                </c:pt>
                <c:pt idx="1">
                  <c:v>5328.9</c:v>
                </c:pt>
                <c:pt idx="3">
                  <c:v>10000</c:v>
                </c:pt>
                <c:pt idx="4">
                  <c:v>4505</c:v>
                </c:pt>
                <c:pt idx="5">
                  <c:v>784.9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49-483F-8E25-C04C2E837A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Безопасные и качественные автомобильные дороги</c:v>
                </c:pt>
                <c:pt idx="1">
                  <c:v>Цифровая экономика</c:v>
                </c:pt>
                <c:pt idx="3">
                  <c:v>Жилье и городская среда </c:v>
                </c:pt>
                <c:pt idx="4">
                  <c:v>Образование </c:v>
                </c:pt>
                <c:pt idx="5">
                  <c:v>Культура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7D49-483F-8E25-C04C2E837A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Безопасные и качественные автомобильные дороги</c:v>
                </c:pt>
                <c:pt idx="1">
                  <c:v>Цифровая экономика</c:v>
                </c:pt>
                <c:pt idx="3">
                  <c:v>Жилье и городская среда </c:v>
                </c:pt>
                <c:pt idx="4">
                  <c:v>Образование </c:v>
                </c:pt>
                <c:pt idx="5">
                  <c:v>Культура 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7D49-483F-8E25-C04C2E837A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0201056"/>
        <c:axId val="340201384"/>
      </c:barChart>
      <c:catAx>
        <c:axId val="340201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201384"/>
        <c:crosses val="autoZero"/>
        <c:auto val="1"/>
        <c:lblAlgn val="ctr"/>
        <c:lblOffset val="100"/>
        <c:noMultiLvlLbl val="0"/>
      </c:catAx>
      <c:valAx>
        <c:axId val="3402013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0201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21</Pages>
  <Words>7139</Words>
  <Characters>40695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2022-03-29T09:13:00Z</dcterms:created>
  <dcterms:modified xsi:type="dcterms:W3CDTF">2022-04-12T01:50:00Z</dcterms:modified>
</cp:coreProperties>
</file>