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B846" w14:textId="77777777" w:rsidR="005E0276" w:rsidRDefault="005E0276" w:rsidP="005E0276">
      <w:pPr>
        <w:pStyle w:val="ConsNormal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УТВЕРЖДАЮ:</w:t>
      </w:r>
    </w:p>
    <w:p w14:paraId="58F643F3" w14:textId="77777777" w:rsidR="005E0276" w:rsidRDefault="005E0276" w:rsidP="005E0276">
      <w:pPr>
        <w:pStyle w:val="ConsNormal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Глава Балахтинского района</w:t>
      </w:r>
    </w:p>
    <w:p w14:paraId="7A99981E" w14:textId="77777777" w:rsidR="005E0276" w:rsidRDefault="005E0276" w:rsidP="005E0276">
      <w:pPr>
        <w:pStyle w:val="ConsNormal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16DA4BE" w14:textId="0F1D6CC0" w:rsidR="005E0276" w:rsidRDefault="005E0276" w:rsidP="005E0276">
      <w:pPr>
        <w:pStyle w:val="ConsNormal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</w:t>
      </w:r>
      <w:r w:rsidR="00677BEF">
        <w:rPr>
          <w:rFonts w:ascii="Times New Roman" w:eastAsia="Calibri" w:hAnsi="Times New Roman" w:cs="Times New Roman"/>
          <w:sz w:val="24"/>
          <w:szCs w:val="24"/>
          <w:lang w:eastAsia="en-US"/>
        </w:rPr>
        <w:t>В.А. Аниканов</w:t>
      </w:r>
    </w:p>
    <w:p w14:paraId="1655F1F4" w14:textId="77777777" w:rsidR="005E0276" w:rsidRDefault="005E0276" w:rsidP="005E0276">
      <w:pPr>
        <w:pStyle w:val="ConsNormal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7A2FEAE3" w14:textId="6FF6A660" w:rsidR="005E0276" w:rsidRDefault="005E0276" w:rsidP="005E0276">
      <w:pPr>
        <w:pStyle w:val="ConsNormal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«</w:t>
      </w:r>
      <w:r w:rsidR="00677BEF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gramStart"/>
      <w:r w:rsidR="00677B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января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677BEF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proofErr w:type="gramEnd"/>
    </w:p>
    <w:p w14:paraId="1B531116" w14:textId="77777777" w:rsidR="005E0276" w:rsidRDefault="005E0276" w:rsidP="0065559B">
      <w:pPr>
        <w:pStyle w:val="Con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C32DF7" w14:textId="5EF6C914" w:rsidR="0065559B" w:rsidRDefault="00553A7C" w:rsidP="0065559B">
      <w:pPr>
        <w:pStyle w:val="Con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3A7C">
        <w:rPr>
          <w:rFonts w:ascii="Times New Roman" w:eastAsia="Calibri" w:hAnsi="Times New Roman" w:cs="Times New Roman"/>
          <w:sz w:val="24"/>
          <w:szCs w:val="24"/>
          <w:lang w:eastAsia="en-US"/>
        </w:rPr>
        <w:t>Отчет о достижении ключевых показателей развития конкуренции в отраслях (сферах, товарных рынках) и исполнение плана мероприятий (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553A7C">
        <w:rPr>
          <w:rFonts w:ascii="Times New Roman" w:eastAsia="Calibri" w:hAnsi="Times New Roman" w:cs="Times New Roman"/>
          <w:sz w:val="24"/>
          <w:szCs w:val="24"/>
          <w:lang w:eastAsia="en-US"/>
        </w:rPr>
        <w:t>дорожной карты»)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содействия развитию конкуренц</w:t>
      </w:r>
      <w:r w:rsidR="00513D51">
        <w:rPr>
          <w:rFonts w:ascii="Times New Roman" w:eastAsia="Calibri" w:hAnsi="Times New Roman" w:cs="Times New Roman"/>
          <w:sz w:val="24"/>
          <w:szCs w:val="24"/>
          <w:lang w:eastAsia="en-US"/>
        </w:rPr>
        <w:t>ии в Балахтинском районе за 202</w:t>
      </w:r>
      <w:r w:rsidR="00677BEF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</w:t>
      </w:r>
    </w:p>
    <w:p w14:paraId="46C746AE" w14:textId="77777777" w:rsidR="004E0876" w:rsidRPr="00553A7C" w:rsidRDefault="004E0876" w:rsidP="0065559B">
      <w:pPr>
        <w:pStyle w:val="Con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3402"/>
        <w:gridCol w:w="1447"/>
        <w:gridCol w:w="484"/>
        <w:gridCol w:w="933"/>
        <w:gridCol w:w="2806"/>
      </w:tblGrid>
      <w:tr w:rsidR="00733310" w:rsidRPr="00C12086" w14:paraId="392F78F7" w14:textId="77777777" w:rsidTr="00EA1016">
        <w:trPr>
          <w:trHeight w:val="540"/>
        </w:trPr>
        <w:tc>
          <w:tcPr>
            <w:tcW w:w="675" w:type="dxa"/>
            <w:vMerge w:val="restart"/>
            <w:shd w:val="clear" w:color="auto" w:fill="auto"/>
          </w:tcPr>
          <w:p w14:paraId="65EF54E7" w14:textId="77777777" w:rsidR="00733310" w:rsidRPr="00C12086" w:rsidRDefault="00733310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№</w:t>
            </w:r>
          </w:p>
          <w:p w14:paraId="29991E00" w14:textId="77777777" w:rsidR="00733310" w:rsidRPr="00C12086" w:rsidRDefault="00733310" w:rsidP="00737026">
            <w:pPr>
              <w:pStyle w:val="Con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7220B80B" w14:textId="77777777" w:rsidR="00733310" w:rsidRPr="00C12086" w:rsidRDefault="00733310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Наименование </w:t>
            </w:r>
          </w:p>
          <w:p w14:paraId="6C417A3A" w14:textId="77777777" w:rsidR="00733310" w:rsidRPr="00C12086" w:rsidRDefault="00733310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6FAE335" w14:textId="77777777" w:rsidR="00733310" w:rsidRPr="00C12086" w:rsidRDefault="00733310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Срок</w:t>
            </w:r>
          </w:p>
          <w:p w14:paraId="01EB1D88" w14:textId="77777777" w:rsidR="00733310" w:rsidRPr="00C12086" w:rsidRDefault="00733310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исполнения</w:t>
            </w:r>
          </w:p>
          <w:p w14:paraId="33D8A381" w14:textId="77777777" w:rsidR="00733310" w:rsidRPr="00C12086" w:rsidRDefault="00733310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мероприятия</w:t>
            </w:r>
          </w:p>
          <w:p w14:paraId="19054F14" w14:textId="77777777" w:rsidR="00733310" w:rsidRPr="00C12086" w:rsidRDefault="00733310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7BB77A1E" w14:textId="77777777" w:rsidR="00733310" w:rsidRPr="00C12086" w:rsidRDefault="00733310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оказателя</w:t>
            </w:r>
          </w:p>
          <w:p w14:paraId="48D4D885" w14:textId="77777777" w:rsidR="00733310" w:rsidRPr="00C12086" w:rsidRDefault="00733310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(наименование,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</w: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единицы измерения)</w:t>
            </w:r>
          </w:p>
        </w:tc>
        <w:tc>
          <w:tcPr>
            <w:tcW w:w="2864" w:type="dxa"/>
            <w:gridSpan w:val="3"/>
            <w:shd w:val="clear" w:color="auto" w:fill="auto"/>
          </w:tcPr>
          <w:p w14:paraId="28833777" w14:textId="77777777" w:rsidR="00733310" w:rsidRPr="00C12086" w:rsidRDefault="00733310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Целевые значения показателя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4CF39F34" w14:textId="77777777" w:rsidR="00733310" w:rsidRPr="00733310" w:rsidRDefault="00733310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331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Результаты выполнения мероприятий</w:t>
            </w:r>
          </w:p>
        </w:tc>
      </w:tr>
      <w:tr w:rsidR="00733310" w:rsidRPr="00C12086" w14:paraId="45408170" w14:textId="77777777" w:rsidTr="00EA1016">
        <w:trPr>
          <w:trHeight w:val="435"/>
        </w:trPr>
        <w:tc>
          <w:tcPr>
            <w:tcW w:w="675" w:type="dxa"/>
            <w:vMerge/>
            <w:shd w:val="clear" w:color="auto" w:fill="auto"/>
          </w:tcPr>
          <w:p w14:paraId="6D4064DC" w14:textId="77777777" w:rsidR="00733310" w:rsidRPr="00C12086" w:rsidRDefault="00733310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A6A308D" w14:textId="77777777" w:rsidR="00733310" w:rsidRPr="00C12086" w:rsidRDefault="00733310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D568F7" w14:textId="77777777" w:rsidR="00733310" w:rsidRPr="00C12086" w:rsidRDefault="00733310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4289A1B" w14:textId="77777777" w:rsidR="00733310" w:rsidRPr="00C12086" w:rsidRDefault="00733310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shd w:val="clear" w:color="auto" w:fill="auto"/>
          </w:tcPr>
          <w:p w14:paraId="14ACD780" w14:textId="30A744B5" w:rsidR="00733310" w:rsidRPr="00C12086" w:rsidRDefault="00733310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Ключевые показатели (</w:t>
            </w:r>
            <w:r w:rsidR="00513D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факт) по состоянию на 01.01.202</w:t>
            </w:r>
            <w:r w:rsidR="00677BE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  <w:r w:rsidR="00AB3B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(%)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5D40D3C" w14:textId="0382D90C" w:rsidR="00733310" w:rsidRPr="00C12086" w:rsidRDefault="00733310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Достижение ключевых показателей (</w:t>
            </w:r>
            <w:r w:rsidR="00513D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факт) по состоянию на 01.01.202</w:t>
            </w:r>
            <w:r w:rsidR="00677BE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  <w:r w:rsidR="00AB3B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(%)</w:t>
            </w:r>
          </w:p>
        </w:tc>
        <w:tc>
          <w:tcPr>
            <w:tcW w:w="2806" w:type="dxa"/>
            <w:vMerge/>
            <w:shd w:val="clear" w:color="auto" w:fill="auto"/>
          </w:tcPr>
          <w:p w14:paraId="730C986D" w14:textId="77777777" w:rsidR="00733310" w:rsidRPr="00C12086" w:rsidRDefault="00733310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559B" w:rsidRPr="00C12086" w14:paraId="578C4AEE" w14:textId="77777777" w:rsidTr="00737026">
        <w:trPr>
          <w:trHeight w:val="435"/>
        </w:trPr>
        <w:tc>
          <w:tcPr>
            <w:tcW w:w="14850" w:type="dxa"/>
            <w:gridSpan w:val="8"/>
            <w:shd w:val="clear" w:color="auto" w:fill="auto"/>
          </w:tcPr>
          <w:p w14:paraId="56B278A2" w14:textId="77777777" w:rsidR="0065559B" w:rsidRPr="009E5AA7" w:rsidRDefault="0065559B" w:rsidP="00737026">
            <w:pPr>
              <w:pStyle w:val="ConsNormal"/>
              <w:ind w:left="108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E5AA7">
              <w:rPr>
                <w:rFonts w:ascii="Times New Roman" w:eastAsia="Calibri" w:hAnsi="Times New Roman" w:cs="Times New Roman"/>
                <w:lang w:eastAsia="en-US"/>
              </w:rPr>
              <w:t xml:space="preserve">1. Мероприятия в отдельных отраслях (сферах, товарных рынках) экономики в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Балахтинском </w:t>
            </w:r>
            <w:r w:rsidR="00AF4190">
              <w:rPr>
                <w:rFonts w:ascii="Times New Roman" w:eastAsia="Calibri" w:hAnsi="Times New Roman" w:cs="Times New Roman"/>
                <w:lang w:eastAsia="en-US"/>
              </w:rPr>
              <w:t>районе Красноярского</w:t>
            </w:r>
            <w:r w:rsidRPr="009E5AA7">
              <w:rPr>
                <w:rFonts w:ascii="Times New Roman" w:eastAsia="Calibri" w:hAnsi="Times New Roman" w:cs="Times New Roman"/>
                <w:lang w:eastAsia="en-US"/>
              </w:rPr>
              <w:t xml:space="preserve"> края</w:t>
            </w:r>
          </w:p>
          <w:p w14:paraId="17CABB9E" w14:textId="77777777" w:rsidR="0065559B" w:rsidRPr="00C12086" w:rsidRDefault="0065559B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559B" w:rsidRPr="00C12086" w14:paraId="33F056F7" w14:textId="77777777" w:rsidTr="00737026">
        <w:trPr>
          <w:trHeight w:val="70"/>
        </w:trPr>
        <w:tc>
          <w:tcPr>
            <w:tcW w:w="14850" w:type="dxa"/>
            <w:gridSpan w:val="8"/>
            <w:shd w:val="clear" w:color="auto" w:fill="auto"/>
          </w:tcPr>
          <w:p w14:paraId="3C235E95" w14:textId="77777777" w:rsidR="0065559B" w:rsidRPr="00F122F5" w:rsidRDefault="0065559B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1.1</w:t>
            </w:r>
            <w:r w:rsidRPr="00F122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Рынок </w:t>
            </w:r>
            <w:r w:rsidRPr="00F122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Вылов водных биоресурсов.</w:t>
            </w:r>
          </w:p>
        </w:tc>
      </w:tr>
      <w:tr w:rsidR="0065559B" w:rsidRPr="00C12086" w14:paraId="74CD278D" w14:textId="77777777" w:rsidTr="00737026">
        <w:trPr>
          <w:trHeight w:val="70"/>
        </w:trPr>
        <w:tc>
          <w:tcPr>
            <w:tcW w:w="14850" w:type="dxa"/>
            <w:gridSpan w:val="8"/>
            <w:shd w:val="clear" w:color="auto" w:fill="auto"/>
          </w:tcPr>
          <w:p w14:paraId="26451D98" w14:textId="77777777" w:rsidR="0065559B" w:rsidRPr="00DF3A3A" w:rsidRDefault="0065559B" w:rsidP="00737026">
            <w:pPr>
              <w:pStyle w:val="a3"/>
              <w:ind w:left="0"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F3A3A">
              <w:rPr>
                <w:rFonts w:eastAsia="Calibri"/>
                <w:color w:val="000000"/>
                <w:sz w:val="24"/>
                <w:szCs w:val="24"/>
              </w:rPr>
              <w:t>На территории Балахтинского района добыча (вылов) водных биологических ресурсов осуществляется организациями частной формы собственности - 100%. Государственные (муниципальные) организации в данной отрасли отсутствуют.</w:t>
            </w:r>
          </w:p>
          <w:p w14:paraId="448D1E38" w14:textId="77777777" w:rsidR="0065559B" w:rsidRPr="00C12086" w:rsidRDefault="0065559B" w:rsidP="00A04137">
            <w:pPr>
              <w:pStyle w:val="a3"/>
              <w:ind w:left="0"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4E0876" w:rsidRPr="00C12086" w14:paraId="4D12F4D5" w14:textId="77777777" w:rsidTr="00EA1016">
        <w:trPr>
          <w:trHeight w:val="70"/>
        </w:trPr>
        <w:tc>
          <w:tcPr>
            <w:tcW w:w="675" w:type="dxa"/>
            <w:shd w:val="clear" w:color="auto" w:fill="auto"/>
          </w:tcPr>
          <w:p w14:paraId="7D734AEC" w14:textId="77777777" w:rsidR="004E0876" w:rsidRDefault="004E087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3544" w:type="dxa"/>
            <w:shd w:val="clear" w:color="auto" w:fill="auto"/>
          </w:tcPr>
          <w:p w14:paraId="4B0E45EE" w14:textId="77777777" w:rsidR="004E0876" w:rsidRDefault="004E0876" w:rsidP="0073702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возможностей для </w:t>
            </w:r>
            <w:r w:rsidRPr="00846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участия предприятий, занимающихся выловом водных биоресурсов в выставках и (или) ярмарках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14:paraId="7D9DA196" w14:textId="77777777" w:rsidR="004E0876" w:rsidRPr="00E96AB3" w:rsidRDefault="004E0876" w:rsidP="0073702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34CE770" w14:textId="77777777" w:rsidR="004E0876" w:rsidRPr="00C12086" w:rsidRDefault="004E087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2019-2022</w:t>
            </w:r>
          </w:p>
        </w:tc>
        <w:tc>
          <w:tcPr>
            <w:tcW w:w="3402" w:type="dxa"/>
            <w:shd w:val="clear" w:color="auto" w:fill="auto"/>
          </w:tcPr>
          <w:p w14:paraId="5857758C" w14:textId="77777777" w:rsidR="004E0876" w:rsidRPr="005238FE" w:rsidRDefault="004E0876" w:rsidP="00737026">
            <w:pPr>
              <w:pStyle w:val="Con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Доля организаций частной формы собственности в</w:t>
            </w:r>
            <w:r w:rsidRPr="00523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Pr="005238FE">
              <w:rPr>
                <w:rFonts w:ascii="Times New Roman" w:hAnsi="Times New Roman" w:cs="Times New Roman"/>
                <w:sz w:val="24"/>
                <w:szCs w:val="24"/>
              </w:rPr>
              <w:t xml:space="preserve"> добычи (вылова) рыбы, других водных биоресурсов за исключением изъятия объектов товарной аквакультуры (товарного рыбоводства), </w:t>
            </w:r>
          </w:p>
        </w:tc>
        <w:tc>
          <w:tcPr>
            <w:tcW w:w="1447" w:type="dxa"/>
            <w:shd w:val="clear" w:color="auto" w:fill="auto"/>
          </w:tcPr>
          <w:p w14:paraId="2E456F1A" w14:textId="77777777" w:rsidR="004E0876" w:rsidRPr="00C12086" w:rsidRDefault="00A04137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8C3F9DC" w14:textId="77777777" w:rsidR="004E0876" w:rsidRPr="00C12086" w:rsidRDefault="00A04137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806" w:type="dxa"/>
            <w:shd w:val="clear" w:color="auto" w:fill="auto"/>
          </w:tcPr>
          <w:p w14:paraId="5155365A" w14:textId="77777777" w:rsidR="004E0876" w:rsidRPr="000C1336" w:rsidRDefault="00A04137" w:rsidP="00737026">
            <w:pPr>
              <w:pStyle w:val="Con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Предприятия участвуют в ярмарках  выходного дня, в праздничных продовольственных ярмарках (выставках)</w:t>
            </w:r>
          </w:p>
        </w:tc>
      </w:tr>
      <w:tr w:rsidR="004E0876" w:rsidRPr="00C12086" w14:paraId="180B6A93" w14:textId="77777777" w:rsidTr="00EA1016">
        <w:trPr>
          <w:trHeight w:val="70"/>
        </w:trPr>
        <w:tc>
          <w:tcPr>
            <w:tcW w:w="675" w:type="dxa"/>
            <w:shd w:val="clear" w:color="auto" w:fill="auto"/>
          </w:tcPr>
          <w:p w14:paraId="6B477CEC" w14:textId="77777777" w:rsidR="004E0876" w:rsidRDefault="004E087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1.2.1</w:t>
            </w:r>
          </w:p>
        </w:tc>
        <w:tc>
          <w:tcPr>
            <w:tcW w:w="3544" w:type="dxa"/>
            <w:shd w:val="clear" w:color="auto" w:fill="auto"/>
          </w:tcPr>
          <w:p w14:paraId="30905901" w14:textId="77777777" w:rsidR="004E0876" w:rsidRPr="00E96AB3" w:rsidRDefault="004E0876" w:rsidP="0073702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программе «Поддержка и развитие субъектов малого и среднего предпринимательства в Балахтинском районе» </w:t>
            </w:r>
          </w:p>
        </w:tc>
        <w:tc>
          <w:tcPr>
            <w:tcW w:w="1559" w:type="dxa"/>
            <w:shd w:val="clear" w:color="auto" w:fill="auto"/>
          </w:tcPr>
          <w:p w14:paraId="2CB34B2A" w14:textId="77777777" w:rsidR="004E0876" w:rsidRPr="00C12086" w:rsidRDefault="004E087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2019-2022</w:t>
            </w:r>
          </w:p>
        </w:tc>
        <w:tc>
          <w:tcPr>
            <w:tcW w:w="3402" w:type="dxa"/>
            <w:shd w:val="clear" w:color="auto" w:fill="auto"/>
          </w:tcPr>
          <w:p w14:paraId="75574EE4" w14:textId="57596E85" w:rsidR="004E0876" w:rsidRPr="00C12086" w:rsidRDefault="004E087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7" w:type="dxa"/>
            <w:shd w:val="clear" w:color="auto" w:fill="auto"/>
          </w:tcPr>
          <w:p w14:paraId="317A695B" w14:textId="77777777" w:rsidR="004E0876" w:rsidRPr="00C12086" w:rsidRDefault="004E087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0288A85" w14:textId="77777777" w:rsidR="004E0876" w:rsidRPr="00C12086" w:rsidRDefault="004E087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06" w:type="dxa"/>
            <w:shd w:val="clear" w:color="auto" w:fill="auto"/>
          </w:tcPr>
          <w:p w14:paraId="6E56EE93" w14:textId="52DD7925" w:rsidR="004E0876" w:rsidRPr="00C12086" w:rsidRDefault="00A04137" w:rsidP="00EA1016">
            <w:pPr>
              <w:pStyle w:val="ConsNormal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Участие в краевой программе «О государственной поддержке субъектов агропромышленного комплекса края»</w:t>
            </w:r>
            <w:proofErr w:type="gramStart"/>
            <w:r w:rsidR="00677BEF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="00677BEF">
              <w:rPr>
                <w:rFonts w:ascii="Times New Roman" w:eastAsia="Calibri" w:hAnsi="Times New Roman" w:cs="Times New Roman"/>
                <w:lang w:eastAsia="en-US"/>
              </w:rPr>
              <w:t>В рамках</w:t>
            </w:r>
            <w:proofErr w:type="gramEnd"/>
            <w:r w:rsidR="00677BEF">
              <w:rPr>
                <w:rFonts w:ascii="Times New Roman" w:eastAsia="Calibri" w:hAnsi="Times New Roman" w:cs="Times New Roman"/>
                <w:lang w:eastAsia="en-US"/>
              </w:rPr>
              <w:t xml:space="preserve"> районной целевой программы финансовая подд</w:t>
            </w:r>
            <w:r w:rsidR="00677BEF">
              <w:rPr>
                <w:rFonts w:ascii="Times New Roman" w:eastAsia="Calibri" w:hAnsi="Times New Roman" w:cs="Times New Roman"/>
                <w:lang w:eastAsia="en-US"/>
              </w:rPr>
              <w:t>ержка не осуществлялась в виду отсутствия финансирования</w:t>
            </w:r>
          </w:p>
        </w:tc>
      </w:tr>
      <w:tr w:rsidR="0065559B" w:rsidRPr="00C12086" w14:paraId="06606A38" w14:textId="77777777" w:rsidTr="00737026">
        <w:trPr>
          <w:trHeight w:val="70"/>
        </w:trPr>
        <w:tc>
          <w:tcPr>
            <w:tcW w:w="14850" w:type="dxa"/>
            <w:gridSpan w:val="8"/>
            <w:shd w:val="clear" w:color="auto" w:fill="auto"/>
          </w:tcPr>
          <w:p w14:paraId="090455E8" w14:textId="77777777" w:rsidR="0065559B" w:rsidRPr="00F122F5" w:rsidRDefault="0065559B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1.2</w:t>
            </w:r>
            <w:r w:rsidRPr="00F122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Рынок: Обработка древесины и производства изделий из дерева</w:t>
            </w:r>
          </w:p>
        </w:tc>
      </w:tr>
      <w:tr w:rsidR="0065559B" w:rsidRPr="00C12086" w14:paraId="4A56D80E" w14:textId="77777777" w:rsidTr="00737026">
        <w:trPr>
          <w:trHeight w:val="70"/>
        </w:trPr>
        <w:tc>
          <w:tcPr>
            <w:tcW w:w="14850" w:type="dxa"/>
            <w:gridSpan w:val="8"/>
            <w:shd w:val="clear" w:color="auto" w:fill="auto"/>
          </w:tcPr>
          <w:p w14:paraId="3BD79E04" w14:textId="77777777" w:rsidR="0065559B" w:rsidRPr="00123195" w:rsidRDefault="0065559B" w:rsidP="00737026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123195">
              <w:rPr>
                <w:rFonts w:eastAsia="Calibri"/>
                <w:sz w:val="24"/>
                <w:szCs w:val="24"/>
              </w:rPr>
              <w:t xml:space="preserve">В Балахтинском районе деятельность по обработке древесины и производству изделий из дерева осуществляют 6 индивидуальных </w:t>
            </w:r>
            <w:r w:rsidR="00AF4190" w:rsidRPr="00123195">
              <w:rPr>
                <w:rFonts w:eastAsia="Calibri"/>
                <w:sz w:val="24"/>
                <w:szCs w:val="24"/>
              </w:rPr>
              <w:t>предпринимателей</w:t>
            </w:r>
            <w:r w:rsidR="00AF4190">
              <w:rPr>
                <w:rFonts w:eastAsia="Calibri"/>
                <w:sz w:val="24"/>
                <w:szCs w:val="24"/>
              </w:rPr>
              <w:t xml:space="preserve">, </w:t>
            </w:r>
            <w:r w:rsidR="00AF4190" w:rsidRPr="00123195">
              <w:rPr>
                <w:rFonts w:eastAsia="Calibri"/>
                <w:sz w:val="24"/>
                <w:szCs w:val="24"/>
              </w:rPr>
              <w:t>одно</w:t>
            </w:r>
            <w:r w:rsidRPr="00123195">
              <w:rPr>
                <w:rFonts w:eastAsia="Calibri"/>
                <w:sz w:val="24"/>
                <w:szCs w:val="24"/>
              </w:rPr>
              <w:t xml:space="preserve"> юридическое лицо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59D5D7B8" w14:textId="77777777" w:rsidR="0065559B" w:rsidRPr="00123195" w:rsidRDefault="0065559B" w:rsidP="00737026">
            <w:pPr>
              <w:pStyle w:val="a3"/>
              <w:ind w:left="0" w:firstLine="709"/>
              <w:jc w:val="both"/>
              <w:rPr>
                <w:sz w:val="24"/>
                <w:szCs w:val="24"/>
              </w:rPr>
            </w:pPr>
            <w:r w:rsidRPr="00123195">
              <w:rPr>
                <w:sz w:val="24"/>
                <w:szCs w:val="24"/>
              </w:rPr>
              <w:t>В прогнозных значениях в ближайшие три года доля присутствия на рынке частных организаций сохранится.</w:t>
            </w:r>
          </w:p>
          <w:p w14:paraId="7BC186A1" w14:textId="77777777" w:rsidR="0065559B" w:rsidRPr="00C12086" w:rsidRDefault="0065559B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E0876" w:rsidRPr="00C12086" w14:paraId="130E05EE" w14:textId="77777777" w:rsidTr="00EA1016">
        <w:trPr>
          <w:trHeight w:val="152"/>
        </w:trPr>
        <w:tc>
          <w:tcPr>
            <w:tcW w:w="675" w:type="dxa"/>
            <w:shd w:val="clear" w:color="auto" w:fill="auto"/>
          </w:tcPr>
          <w:p w14:paraId="00AB7DD0" w14:textId="77777777" w:rsidR="004E0876" w:rsidRDefault="004E087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3544" w:type="dxa"/>
            <w:shd w:val="clear" w:color="auto" w:fill="auto"/>
          </w:tcPr>
          <w:p w14:paraId="4E06372E" w14:textId="77777777" w:rsidR="004E0876" w:rsidRDefault="004E0876" w:rsidP="0073702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Информирование заинтересованных лиц о проведении  обучающих мероприятиях </w:t>
            </w:r>
            <w:r w:rsidRPr="00F27F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участников товарного рынка с участием представителей бирж, осуществляющих биржевую торговлю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лесом</w:t>
            </w:r>
          </w:p>
        </w:tc>
        <w:tc>
          <w:tcPr>
            <w:tcW w:w="1559" w:type="dxa"/>
            <w:shd w:val="clear" w:color="auto" w:fill="auto"/>
          </w:tcPr>
          <w:p w14:paraId="5F7FB667" w14:textId="77777777" w:rsidR="004E0876" w:rsidRPr="00C12086" w:rsidRDefault="004E087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2019-2022</w:t>
            </w:r>
          </w:p>
        </w:tc>
        <w:tc>
          <w:tcPr>
            <w:tcW w:w="3402" w:type="dxa"/>
            <w:shd w:val="clear" w:color="auto" w:fill="auto"/>
          </w:tcPr>
          <w:p w14:paraId="418578CA" w14:textId="77777777" w:rsidR="004E0876" w:rsidRPr="00C12086" w:rsidRDefault="004E087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Доля организаций частной формы собственности в сфере обработки древесины и производства изделий из дерева (процент)</w:t>
            </w:r>
          </w:p>
        </w:tc>
        <w:tc>
          <w:tcPr>
            <w:tcW w:w="1931" w:type="dxa"/>
            <w:gridSpan w:val="2"/>
            <w:shd w:val="clear" w:color="auto" w:fill="auto"/>
          </w:tcPr>
          <w:p w14:paraId="3877C263" w14:textId="77777777" w:rsidR="004E0876" w:rsidRPr="00C12086" w:rsidRDefault="00A04137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933" w:type="dxa"/>
            <w:shd w:val="clear" w:color="auto" w:fill="auto"/>
          </w:tcPr>
          <w:p w14:paraId="6569241B" w14:textId="77777777" w:rsidR="004E0876" w:rsidRPr="00C12086" w:rsidRDefault="00A04137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806" w:type="dxa"/>
            <w:shd w:val="clear" w:color="auto" w:fill="auto"/>
          </w:tcPr>
          <w:p w14:paraId="0D9B1F57" w14:textId="77777777" w:rsidR="004E0876" w:rsidRPr="000C1336" w:rsidRDefault="0024547F" w:rsidP="00737026">
            <w:pPr>
              <w:pStyle w:val="Con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Информирование осуществляется. Доля участия МСП  на рынке сохранилась.</w:t>
            </w:r>
          </w:p>
        </w:tc>
      </w:tr>
      <w:tr w:rsidR="004E0876" w:rsidRPr="00C12086" w14:paraId="38858DDD" w14:textId="77777777" w:rsidTr="00EA1016">
        <w:trPr>
          <w:trHeight w:val="70"/>
        </w:trPr>
        <w:tc>
          <w:tcPr>
            <w:tcW w:w="675" w:type="dxa"/>
            <w:shd w:val="clear" w:color="auto" w:fill="auto"/>
          </w:tcPr>
          <w:p w14:paraId="1C062D37" w14:textId="77777777" w:rsidR="004E0876" w:rsidRDefault="004E087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3544" w:type="dxa"/>
            <w:shd w:val="clear" w:color="auto" w:fill="auto"/>
          </w:tcPr>
          <w:p w14:paraId="340161D6" w14:textId="77777777" w:rsidR="004E0876" w:rsidRDefault="004E0876" w:rsidP="0073702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программе «Поддержка и развитие субъектов малого и среднего предпринимательства в Балахтинском районе»</w:t>
            </w:r>
          </w:p>
        </w:tc>
        <w:tc>
          <w:tcPr>
            <w:tcW w:w="1559" w:type="dxa"/>
            <w:shd w:val="clear" w:color="auto" w:fill="auto"/>
          </w:tcPr>
          <w:p w14:paraId="341313D4" w14:textId="77777777" w:rsidR="004E0876" w:rsidRPr="00C12086" w:rsidRDefault="004E087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2019-2022</w:t>
            </w:r>
          </w:p>
        </w:tc>
        <w:tc>
          <w:tcPr>
            <w:tcW w:w="3402" w:type="dxa"/>
            <w:shd w:val="clear" w:color="auto" w:fill="auto"/>
          </w:tcPr>
          <w:p w14:paraId="5AEC719F" w14:textId="77777777" w:rsidR="004E0876" w:rsidRPr="00C12086" w:rsidRDefault="004E087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14:paraId="3BCFD726" w14:textId="77777777" w:rsidR="004E0876" w:rsidRPr="00C12086" w:rsidRDefault="004E087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33" w:type="dxa"/>
            <w:shd w:val="clear" w:color="auto" w:fill="auto"/>
          </w:tcPr>
          <w:p w14:paraId="2F7DA658" w14:textId="77777777" w:rsidR="004E0876" w:rsidRPr="00C12086" w:rsidRDefault="004E087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06" w:type="dxa"/>
            <w:shd w:val="clear" w:color="auto" w:fill="auto"/>
          </w:tcPr>
          <w:p w14:paraId="02635A22" w14:textId="7D02407C" w:rsidR="004E0876" w:rsidRPr="00C12086" w:rsidRDefault="00A04137" w:rsidP="00EA1016">
            <w:pPr>
              <w:pStyle w:val="ConsNormal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Разработаны мероприятия о возмещении затрат на при</w:t>
            </w:r>
            <w:r w:rsidR="00EA1016">
              <w:rPr>
                <w:rFonts w:ascii="Times New Roman" w:eastAsia="Calibri" w:hAnsi="Times New Roman" w:cs="Times New Roman"/>
                <w:lang w:eastAsia="en-US"/>
              </w:rPr>
              <w:t xml:space="preserve">обретение оборудования </w:t>
            </w:r>
            <w:r>
              <w:rPr>
                <w:rFonts w:ascii="Times New Roman" w:eastAsia="Calibri" w:hAnsi="Times New Roman" w:cs="Times New Roman"/>
                <w:lang w:eastAsia="en-US"/>
              </w:rPr>
              <w:t>(техники).</w:t>
            </w:r>
            <w:r w:rsidR="00677BEF">
              <w:rPr>
                <w:rFonts w:ascii="Times New Roman" w:eastAsia="Calibri" w:hAnsi="Times New Roman" w:cs="Times New Roman"/>
                <w:lang w:eastAsia="en-US"/>
              </w:rPr>
              <w:t xml:space="preserve"> Оказана финансовая поддержка 1 субъекту предпринимательства (возмещение части затрат на приобретение оборудования</w:t>
            </w:r>
          </w:p>
        </w:tc>
      </w:tr>
      <w:tr w:rsidR="004E0876" w:rsidRPr="00C12086" w14:paraId="15D5AC17" w14:textId="77777777" w:rsidTr="00EA1016">
        <w:trPr>
          <w:trHeight w:val="70"/>
        </w:trPr>
        <w:tc>
          <w:tcPr>
            <w:tcW w:w="675" w:type="dxa"/>
            <w:shd w:val="clear" w:color="auto" w:fill="auto"/>
          </w:tcPr>
          <w:p w14:paraId="76A02403" w14:textId="77777777" w:rsidR="004E0876" w:rsidRDefault="004E087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1.2.3</w:t>
            </w:r>
          </w:p>
        </w:tc>
        <w:tc>
          <w:tcPr>
            <w:tcW w:w="3544" w:type="dxa"/>
            <w:shd w:val="clear" w:color="auto" w:fill="auto"/>
          </w:tcPr>
          <w:p w14:paraId="789277EE" w14:textId="77777777" w:rsidR="004E0876" w:rsidRDefault="004E0876" w:rsidP="0073702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C1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региональных и межрегиональных выставках-ярмарках</w:t>
            </w:r>
          </w:p>
        </w:tc>
        <w:tc>
          <w:tcPr>
            <w:tcW w:w="1559" w:type="dxa"/>
            <w:shd w:val="clear" w:color="auto" w:fill="auto"/>
          </w:tcPr>
          <w:p w14:paraId="260FD495" w14:textId="77777777" w:rsidR="004E0876" w:rsidRPr="00C12086" w:rsidRDefault="004E087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2019-2022</w:t>
            </w:r>
          </w:p>
        </w:tc>
        <w:tc>
          <w:tcPr>
            <w:tcW w:w="3402" w:type="dxa"/>
            <w:shd w:val="clear" w:color="auto" w:fill="auto"/>
          </w:tcPr>
          <w:p w14:paraId="485B19FE" w14:textId="77777777" w:rsidR="004E0876" w:rsidRPr="00C12086" w:rsidRDefault="004E087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14:paraId="6A00F226" w14:textId="77777777" w:rsidR="004E0876" w:rsidRPr="00C12086" w:rsidRDefault="004E087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33" w:type="dxa"/>
            <w:shd w:val="clear" w:color="auto" w:fill="auto"/>
          </w:tcPr>
          <w:p w14:paraId="41568395" w14:textId="77777777" w:rsidR="004E0876" w:rsidRPr="00C12086" w:rsidRDefault="004E087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06" w:type="dxa"/>
            <w:shd w:val="clear" w:color="auto" w:fill="auto"/>
          </w:tcPr>
          <w:p w14:paraId="2F02B48F" w14:textId="77777777" w:rsidR="004E0876" w:rsidRPr="00C12086" w:rsidRDefault="000237AF" w:rsidP="00EA1016">
            <w:pPr>
              <w:pStyle w:val="ConsNormal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Информирование субъектов о времени и месте проведения региональных ярмарок </w:t>
            </w:r>
          </w:p>
        </w:tc>
      </w:tr>
      <w:tr w:rsidR="0065559B" w:rsidRPr="00C12086" w14:paraId="113C380B" w14:textId="77777777" w:rsidTr="00737026">
        <w:trPr>
          <w:trHeight w:val="70"/>
        </w:trPr>
        <w:tc>
          <w:tcPr>
            <w:tcW w:w="14850" w:type="dxa"/>
            <w:gridSpan w:val="8"/>
            <w:shd w:val="clear" w:color="auto" w:fill="auto"/>
          </w:tcPr>
          <w:p w14:paraId="4137B58A" w14:textId="77777777" w:rsidR="0065559B" w:rsidRPr="00F122F5" w:rsidRDefault="0065559B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1.3 </w:t>
            </w:r>
            <w:r w:rsidRPr="00F122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Рынок  Ритуальных услуг</w:t>
            </w:r>
          </w:p>
        </w:tc>
      </w:tr>
      <w:tr w:rsidR="0065559B" w:rsidRPr="00C12086" w14:paraId="54A73216" w14:textId="77777777" w:rsidTr="00737026">
        <w:trPr>
          <w:trHeight w:val="70"/>
        </w:trPr>
        <w:tc>
          <w:tcPr>
            <w:tcW w:w="14850" w:type="dxa"/>
            <w:gridSpan w:val="8"/>
            <w:shd w:val="clear" w:color="auto" w:fill="auto"/>
          </w:tcPr>
          <w:p w14:paraId="4E3EA75B" w14:textId="77777777" w:rsidR="0065559B" w:rsidRPr="00141D8F" w:rsidRDefault="0065559B" w:rsidP="00737026">
            <w:pPr>
              <w:pStyle w:val="a5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D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Рынок ритуальных услуг района представлен организациями частной формы собственности: специализированная служба ООО «Тихая обитель» и индивидуальные предприниматели </w:t>
            </w:r>
          </w:p>
        </w:tc>
      </w:tr>
      <w:tr w:rsidR="004E0876" w:rsidRPr="00C12086" w14:paraId="65E6A8F2" w14:textId="77777777" w:rsidTr="00EA1016">
        <w:trPr>
          <w:trHeight w:val="70"/>
        </w:trPr>
        <w:tc>
          <w:tcPr>
            <w:tcW w:w="675" w:type="dxa"/>
            <w:shd w:val="clear" w:color="auto" w:fill="auto"/>
          </w:tcPr>
          <w:p w14:paraId="2D3962A4" w14:textId="77777777" w:rsidR="004E0876" w:rsidRDefault="004E087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1.3.1</w:t>
            </w:r>
          </w:p>
        </w:tc>
        <w:tc>
          <w:tcPr>
            <w:tcW w:w="3544" w:type="dxa"/>
            <w:shd w:val="clear" w:color="auto" w:fill="auto"/>
          </w:tcPr>
          <w:p w14:paraId="0D89EF98" w14:textId="77777777" w:rsidR="004E0876" w:rsidRDefault="004E0876" w:rsidP="0073702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4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р</w:t>
            </w:r>
            <w:r w:rsidRPr="00D474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азмещение реестра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Балахтинского района</w:t>
            </w:r>
          </w:p>
        </w:tc>
        <w:tc>
          <w:tcPr>
            <w:tcW w:w="1559" w:type="dxa"/>
            <w:shd w:val="clear" w:color="auto" w:fill="auto"/>
          </w:tcPr>
          <w:p w14:paraId="7FB94EAA" w14:textId="77777777" w:rsidR="004E0876" w:rsidRPr="00C12086" w:rsidRDefault="004E087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2019-2022</w:t>
            </w:r>
          </w:p>
        </w:tc>
        <w:tc>
          <w:tcPr>
            <w:tcW w:w="3402" w:type="dxa"/>
            <w:shd w:val="clear" w:color="auto" w:fill="auto"/>
          </w:tcPr>
          <w:p w14:paraId="030BD5A9" w14:textId="395DFA58" w:rsidR="004E0876" w:rsidRPr="00C12086" w:rsidRDefault="004E087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Доля организаций частной формы собственности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в  сфере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ритуальных услуг (проценты)</w:t>
            </w:r>
          </w:p>
        </w:tc>
        <w:tc>
          <w:tcPr>
            <w:tcW w:w="1931" w:type="dxa"/>
            <w:gridSpan w:val="2"/>
            <w:shd w:val="clear" w:color="auto" w:fill="auto"/>
          </w:tcPr>
          <w:p w14:paraId="78105848" w14:textId="77777777" w:rsidR="004E0876" w:rsidRPr="00C12086" w:rsidRDefault="00A04137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933" w:type="dxa"/>
            <w:shd w:val="clear" w:color="auto" w:fill="auto"/>
          </w:tcPr>
          <w:p w14:paraId="2617C296" w14:textId="425B7512" w:rsidR="004E0876" w:rsidRPr="00C12086" w:rsidRDefault="00AB3B90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806" w:type="dxa"/>
            <w:shd w:val="clear" w:color="auto" w:fill="auto"/>
          </w:tcPr>
          <w:p w14:paraId="7890CBC8" w14:textId="77777777" w:rsidR="004E0876" w:rsidRPr="000C1336" w:rsidRDefault="000237AF" w:rsidP="00737026">
            <w:pPr>
              <w:pStyle w:val="Con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Сформирован реестр</w:t>
            </w:r>
          </w:p>
        </w:tc>
      </w:tr>
      <w:tr w:rsidR="0065559B" w:rsidRPr="00C12086" w14:paraId="6E20045D" w14:textId="77777777" w:rsidTr="00737026">
        <w:trPr>
          <w:trHeight w:val="70"/>
        </w:trPr>
        <w:tc>
          <w:tcPr>
            <w:tcW w:w="14850" w:type="dxa"/>
            <w:gridSpan w:val="8"/>
            <w:shd w:val="clear" w:color="auto" w:fill="auto"/>
          </w:tcPr>
          <w:p w14:paraId="5CEC3E54" w14:textId="77777777" w:rsidR="0065559B" w:rsidRPr="00F122F5" w:rsidRDefault="0065559B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1.4</w:t>
            </w:r>
            <w:r w:rsidRPr="00F122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Рынок:  услуг розничной продажи  лекарственными препаратами, медицинскими изделиями и сопутствующими товарами</w:t>
            </w:r>
          </w:p>
        </w:tc>
      </w:tr>
      <w:tr w:rsidR="0065559B" w:rsidRPr="00C12086" w14:paraId="2F06992B" w14:textId="77777777" w:rsidTr="00737026">
        <w:trPr>
          <w:trHeight w:val="70"/>
        </w:trPr>
        <w:tc>
          <w:tcPr>
            <w:tcW w:w="14850" w:type="dxa"/>
            <w:gridSpan w:val="8"/>
            <w:shd w:val="clear" w:color="auto" w:fill="auto"/>
          </w:tcPr>
          <w:p w14:paraId="5D545A8C" w14:textId="77777777" w:rsidR="0065559B" w:rsidRDefault="0065559B" w:rsidP="00737026">
            <w:pPr>
              <w:pStyle w:val="a3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082282F5" w14:textId="74C166D2" w:rsidR="0065559B" w:rsidRPr="00F122F5" w:rsidRDefault="0065559B" w:rsidP="000237AF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122F5">
              <w:rPr>
                <w:rFonts w:eastAsia="Calibri"/>
                <w:sz w:val="24"/>
                <w:szCs w:val="24"/>
              </w:rPr>
              <w:t xml:space="preserve">Розничную торговлю лекарственными препаратами, изделиями медицинского назначения и сопутствующими товарами в Балахтинском районе осуществляют аптеки в следующих населенных пунктах: </w:t>
            </w:r>
            <w:proofErr w:type="spellStart"/>
            <w:r w:rsidRPr="00F122F5">
              <w:rPr>
                <w:rFonts w:eastAsia="Calibri"/>
                <w:sz w:val="24"/>
                <w:szCs w:val="24"/>
              </w:rPr>
              <w:t>п.Балахта</w:t>
            </w:r>
            <w:proofErr w:type="spellEnd"/>
            <w:r w:rsidRPr="00F122F5">
              <w:rPr>
                <w:rFonts w:eastAsia="Calibri"/>
                <w:sz w:val="24"/>
                <w:szCs w:val="24"/>
              </w:rPr>
              <w:t xml:space="preserve"> (АО «Губернские Аптеки», ООО «Исток», ООО «</w:t>
            </w:r>
            <w:proofErr w:type="spellStart"/>
            <w:r w:rsidRPr="00F122F5">
              <w:rPr>
                <w:rFonts w:eastAsia="Calibri"/>
                <w:sz w:val="24"/>
                <w:szCs w:val="24"/>
              </w:rPr>
              <w:t>Здоров’я</w:t>
            </w:r>
            <w:proofErr w:type="spellEnd"/>
            <w:r w:rsidRPr="00F122F5">
              <w:rPr>
                <w:rFonts w:eastAsia="Calibri"/>
                <w:sz w:val="24"/>
                <w:szCs w:val="24"/>
              </w:rPr>
              <w:t xml:space="preserve">», ИП Ионик М.Г.), </w:t>
            </w:r>
            <w:proofErr w:type="spellStart"/>
            <w:r w:rsidRPr="00F122F5">
              <w:rPr>
                <w:rFonts w:eastAsia="Calibri"/>
                <w:sz w:val="24"/>
                <w:szCs w:val="24"/>
              </w:rPr>
              <w:t>п.Приморск</w:t>
            </w:r>
            <w:proofErr w:type="spellEnd"/>
            <w:r w:rsidRPr="00F122F5">
              <w:rPr>
                <w:rFonts w:eastAsia="Calibri"/>
                <w:sz w:val="24"/>
                <w:szCs w:val="24"/>
              </w:rPr>
              <w:t xml:space="preserve"> (АО «Губернские Аптеки»), с. Еловка (АО «Губернские Аптеки»), </w:t>
            </w:r>
            <w:proofErr w:type="spellStart"/>
            <w:r w:rsidRPr="00F122F5">
              <w:rPr>
                <w:rFonts w:eastAsia="Calibri"/>
                <w:sz w:val="24"/>
                <w:szCs w:val="24"/>
              </w:rPr>
              <w:t>с.Тюльково</w:t>
            </w:r>
            <w:proofErr w:type="spellEnd"/>
            <w:r w:rsidRPr="00F122F5">
              <w:rPr>
                <w:rFonts w:eastAsia="Calibri"/>
                <w:sz w:val="24"/>
                <w:szCs w:val="24"/>
              </w:rPr>
              <w:t xml:space="preserve"> (ИП Ионик Г.Г.), </w:t>
            </w:r>
            <w:proofErr w:type="spellStart"/>
            <w:r w:rsidRPr="00F122F5">
              <w:rPr>
                <w:rFonts w:eastAsia="Calibri"/>
                <w:sz w:val="24"/>
                <w:szCs w:val="24"/>
              </w:rPr>
              <w:t>с.Кожаны</w:t>
            </w:r>
            <w:proofErr w:type="spellEnd"/>
            <w:r w:rsidRPr="00F122F5">
              <w:rPr>
                <w:rFonts w:eastAsia="Calibri"/>
                <w:sz w:val="24"/>
                <w:szCs w:val="24"/>
              </w:rPr>
              <w:t xml:space="preserve"> (ИП Ионик Г.Г.). Также на территории района осуществляется торговля лекарственными препаратами в аптечных киосках, всего их 13 (АО «Губернские Аптеки», ИП Ионик М.Г</w:t>
            </w:r>
            <w:r w:rsidR="007612A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24547F" w:rsidRPr="00C12086" w14:paraId="50F7724F" w14:textId="77777777" w:rsidTr="00EA1016">
        <w:trPr>
          <w:trHeight w:val="70"/>
        </w:trPr>
        <w:tc>
          <w:tcPr>
            <w:tcW w:w="675" w:type="dxa"/>
            <w:shd w:val="clear" w:color="auto" w:fill="auto"/>
          </w:tcPr>
          <w:p w14:paraId="2B2EC7E3" w14:textId="77777777" w:rsidR="0024547F" w:rsidRDefault="0024547F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1.4.1</w:t>
            </w:r>
          </w:p>
        </w:tc>
        <w:tc>
          <w:tcPr>
            <w:tcW w:w="3544" w:type="dxa"/>
            <w:shd w:val="clear" w:color="auto" w:fill="auto"/>
          </w:tcPr>
          <w:p w14:paraId="3CB70AF5" w14:textId="77777777" w:rsidR="0024547F" w:rsidRDefault="0024547F" w:rsidP="0073702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1E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</w:t>
            </w:r>
            <w:r w:rsidRPr="005F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медицинскими изделиями и сопутствующими товарами</w:t>
            </w:r>
          </w:p>
        </w:tc>
        <w:tc>
          <w:tcPr>
            <w:tcW w:w="1559" w:type="dxa"/>
            <w:shd w:val="clear" w:color="auto" w:fill="auto"/>
          </w:tcPr>
          <w:p w14:paraId="552C3B62" w14:textId="77777777" w:rsidR="0024547F" w:rsidRPr="00C12086" w:rsidRDefault="0024547F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2019-2022</w:t>
            </w:r>
          </w:p>
        </w:tc>
        <w:tc>
          <w:tcPr>
            <w:tcW w:w="3402" w:type="dxa"/>
            <w:shd w:val="clear" w:color="auto" w:fill="auto"/>
          </w:tcPr>
          <w:p w14:paraId="1CEF0B66" w14:textId="77777777" w:rsidR="0024547F" w:rsidRPr="00C67C5A" w:rsidRDefault="0024547F" w:rsidP="00737026">
            <w:pPr>
              <w:pStyle w:val="Con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7C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</w:t>
            </w:r>
            <w:r w:rsidRPr="00C67C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услуг </w:t>
            </w:r>
            <w:r w:rsidRPr="00C67C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розничной продажи  лекарственными препаратами, медицинскими изделиями и сопутствующими товарами (Проценты)</w:t>
            </w:r>
          </w:p>
        </w:tc>
        <w:tc>
          <w:tcPr>
            <w:tcW w:w="1931" w:type="dxa"/>
            <w:gridSpan w:val="2"/>
            <w:shd w:val="clear" w:color="auto" w:fill="auto"/>
          </w:tcPr>
          <w:p w14:paraId="19951801" w14:textId="77777777" w:rsidR="0024547F" w:rsidRPr="00C12086" w:rsidRDefault="0024547F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933" w:type="dxa"/>
            <w:shd w:val="clear" w:color="auto" w:fill="auto"/>
          </w:tcPr>
          <w:p w14:paraId="07C6B0F0" w14:textId="253B3017" w:rsidR="0024547F" w:rsidRPr="00C12086" w:rsidRDefault="00AB3B90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56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76943EF4" w14:textId="77777777" w:rsidR="0024547F" w:rsidRPr="00626463" w:rsidRDefault="0024547F" w:rsidP="0024547F">
            <w:pPr>
              <w:pStyle w:val="Con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64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Проведено ряд мероприятий </w:t>
            </w:r>
            <w:r w:rsidR="007612A8" w:rsidRPr="006264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оказанию информационной поддержки: о мерах муниципальной поддержки, </w:t>
            </w:r>
            <w:proofErr w:type="gramStart"/>
            <w:r w:rsidRPr="006264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 формах</w:t>
            </w:r>
            <w:proofErr w:type="gramEnd"/>
            <w:r w:rsidRPr="006264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маркировки отдельных групп товаров (в том числе медицинскими и  лекарственными препаратами)</w:t>
            </w:r>
            <w:r w:rsidR="007612A8" w:rsidRPr="006264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снижение </w:t>
            </w:r>
            <w:r w:rsidR="007612A8" w:rsidRPr="006264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налоговых ставок на </w:t>
            </w:r>
            <w:r w:rsidR="00BE54FC" w:rsidRPr="006264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незавершённое</w:t>
            </w:r>
            <w:r w:rsidR="007612A8" w:rsidRPr="006264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строительство новых </w:t>
            </w:r>
            <w:r w:rsidR="00BE54FC" w:rsidRPr="006264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объектов</w:t>
            </w:r>
            <w:r w:rsidR="00626463" w:rsidRPr="006264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FB76471" w14:textId="7F4D315D" w:rsidR="00626463" w:rsidRPr="00626463" w:rsidRDefault="00626463" w:rsidP="00626463">
            <w:pPr>
              <w:spacing w:after="160" w:line="259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26463">
              <w:rPr>
                <w:rFonts w:eastAsia="Calibri"/>
                <w:sz w:val="24"/>
                <w:szCs w:val="24"/>
              </w:rPr>
              <w:t xml:space="preserve">Розничную торговлю лекарственными препаратами, изделиями медицинского назначения и сопутствующими товарами в Балахтинском районе </w:t>
            </w:r>
            <w:r w:rsidRPr="00626463">
              <w:rPr>
                <w:rFonts w:eastAsia="Calibri"/>
                <w:color w:val="000000"/>
                <w:sz w:val="24"/>
                <w:szCs w:val="24"/>
              </w:rPr>
              <w:t>осуществляют 9 аптек, в том числе 5 из них негосударственных (55,6%</w:t>
            </w:r>
            <w:r w:rsidRPr="00626463">
              <w:rPr>
                <w:rFonts w:eastAsia="Calibri"/>
                <w:sz w:val="24"/>
                <w:szCs w:val="24"/>
              </w:rPr>
              <w:t xml:space="preserve"> от общего количества лицензиатов).</w:t>
            </w:r>
            <w:r w:rsidRPr="00626463">
              <w:rPr>
                <w:rFonts w:eastAsia="Calibri"/>
                <w:sz w:val="24"/>
                <w:szCs w:val="24"/>
                <w:lang w:eastAsia="en-US"/>
              </w:rPr>
              <w:t xml:space="preserve"> Показатель не достигнут и составляет 55,6%. В 2022 году на территории Балахтинского района планируется открытие 2 аптек. Собственниками этих объектов станут ООО «Губернские аптеки». Соответственно показатель снизится ниже краевого.</w:t>
            </w:r>
          </w:p>
          <w:p w14:paraId="6C7EA11B" w14:textId="45A53C40" w:rsidR="00626463" w:rsidRPr="00626463" w:rsidRDefault="00626463" w:rsidP="0024547F">
            <w:pPr>
              <w:pStyle w:val="Con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547F" w:rsidRPr="00C12086" w14:paraId="6856A223" w14:textId="77777777" w:rsidTr="00EA1016">
        <w:trPr>
          <w:trHeight w:val="70"/>
        </w:trPr>
        <w:tc>
          <w:tcPr>
            <w:tcW w:w="675" w:type="dxa"/>
            <w:shd w:val="clear" w:color="auto" w:fill="auto"/>
          </w:tcPr>
          <w:p w14:paraId="3FE910F3" w14:textId="77777777" w:rsidR="0024547F" w:rsidRDefault="0024547F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1.4.2</w:t>
            </w:r>
          </w:p>
        </w:tc>
        <w:tc>
          <w:tcPr>
            <w:tcW w:w="3544" w:type="dxa"/>
            <w:shd w:val="clear" w:color="auto" w:fill="auto"/>
          </w:tcPr>
          <w:p w14:paraId="6B3C025B" w14:textId="77777777" w:rsidR="0024547F" w:rsidRPr="005F21E8" w:rsidRDefault="0024547F" w:rsidP="0073702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азработка мероприятий</w:t>
            </w:r>
            <w:r w:rsidRPr="00671464">
              <w:rPr>
                <w:rFonts w:ascii="Times New Roman" w:hAnsi="Times New Roman" w:cs="Times New Roman"/>
                <w:sz w:val="24"/>
                <w:szCs w:val="24"/>
              </w:rPr>
              <w:t>, направленных на стимулирование развития розничной торговли лекарственными препаратами, медицинскими изделиями и сопутствующими товарами в отдаленных, труднодоступных и малочисленных населенных пунктах</w:t>
            </w:r>
          </w:p>
        </w:tc>
        <w:tc>
          <w:tcPr>
            <w:tcW w:w="1559" w:type="dxa"/>
            <w:shd w:val="clear" w:color="auto" w:fill="auto"/>
          </w:tcPr>
          <w:p w14:paraId="78335338" w14:textId="77777777" w:rsidR="0024547F" w:rsidRPr="00C12086" w:rsidRDefault="0024547F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2019-2022</w:t>
            </w:r>
          </w:p>
        </w:tc>
        <w:tc>
          <w:tcPr>
            <w:tcW w:w="3402" w:type="dxa"/>
            <w:shd w:val="clear" w:color="auto" w:fill="auto"/>
          </w:tcPr>
          <w:p w14:paraId="640C766A" w14:textId="77777777" w:rsidR="0024547F" w:rsidRPr="00C12086" w:rsidRDefault="0024547F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14:paraId="4D27B013" w14:textId="77777777" w:rsidR="0024547F" w:rsidRPr="00C12086" w:rsidRDefault="0024547F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33" w:type="dxa"/>
            <w:shd w:val="clear" w:color="auto" w:fill="auto"/>
          </w:tcPr>
          <w:p w14:paraId="069AB481" w14:textId="77777777" w:rsidR="0024547F" w:rsidRPr="00C12086" w:rsidRDefault="0024547F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780B660B" w14:textId="77777777" w:rsidR="0024547F" w:rsidRPr="00494800" w:rsidRDefault="0024547F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559B" w:rsidRPr="00C12086" w14:paraId="65BAC002" w14:textId="77777777" w:rsidTr="00737026">
        <w:trPr>
          <w:trHeight w:val="70"/>
        </w:trPr>
        <w:tc>
          <w:tcPr>
            <w:tcW w:w="14850" w:type="dxa"/>
            <w:gridSpan w:val="8"/>
            <w:shd w:val="clear" w:color="auto" w:fill="auto"/>
          </w:tcPr>
          <w:p w14:paraId="5E971984" w14:textId="77777777" w:rsidR="0065559B" w:rsidRPr="00C12086" w:rsidRDefault="0065559B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30A85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1.5 Рынок Переработка водных биоресурсов</w:t>
            </w:r>
          </w:p>
        </w:tc>
      </w:tr>
      <w:tr w:rsidR="0065559B" w:rsidRPr="00C12086" w14:paraId="62ABD1CF" w14:textId="77777777" w:rsidTr="00737026">
        <w:trPr>
          <w:trHeight w:val="70"/>
        </w:trPr>
        <w:tc>
          <w:tcPr>
            <w:tcW w:w="14850" w:type="dxa"/>
            <w:gridSpan w:val="8"/>
            <w:shd w:val="clear" w:color="auto" w:fill="auto"/>
          </w:tcPr>
          <w:p w14:paraId="4864EB83" w14:textId="77777777" w:rsidR="0065559B" w:rsidRPr="00B30A85" w:rsidRDefault="0065559B" w:rsidP="00737026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Переработкой водных биоресурсов занимаются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</w:t>
            </w:r>
            <w:r w:rsidRPr="00B30A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приятия:-</w:t>
            </w:r>
            <w:proofErr w:type="gramEnd"/>
            <w:r w:rsidRPr="00B30A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ООО «Партнер» и ООО «Бирюса»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Малтат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».  </w:t>
            </w:r>
            <w:r w:rsidRPr="00B30A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Продукция </w:t>
            </w:r>
            <w:proofErr w:type="gramStart"/>
            <w:r w:rsidRPr="00B30A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выпускается  под</w:t>
            </w:r>
            <w:proofErr w:type="gramEnd"/>
            <w:r w:rsidRPr="00B30A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торговой маркой «</w:t>
            </w:r>
            <w:proofErr w:type="spellStart"/>
            <w:r w:rsidRPr="00B30A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Руслов</w:t>
            </w:r>
            <w:proofErr w:type="spellEnd"/>
            <w:r w:rsidRPr="00B30A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». </w:t>
            </w:r>
          </w:p>
        </w:tc>
      </w:tr>
      <w:tr w:rsidR="00DD13B4" w:rsidRPr="00C12086" w14:paraId="735FF205" w14:textId="77777777" w:rsidTr="00EA1016">
        <w:trPr>
          <w:trHeight w:val="70"/>
        </w:trPr>
        <w:tc>
          <w:tcPr>
            <w:tcW w:w="675" w:type="dxa"/>
            <w:shd w:val="clear" w:color="auto" w:fill="auto"/>
          </w:tcPr>
          <w:p w14:paraId="749CEE81" w14:textId="77777777" w:rsidR="00DD13B4" w:rsidRDefault="00DD13B4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1.5.1</w:t>
            </w:r>
          </w:p>
        </w:tc>
        <w:tc>
          <w:tcPr>
            <w:tcW w:w="3544" w:type="dxa"/>
            <w:shd w:val="clear" w:color="auto" w:fill="auto"/>
          </w:tcPr>
          <w:p w14:paraId="4376B1D1" w14:textId="77777777" w:rsidR="00DD13B4" w:rsidRDefault="00DD13B4" w:rsidP="0073702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возможностей для </w:t>
            </w:r>
            <w:r w:rsidRPr="00846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участия предприятий, занимающихся выловом водных биоресурсов в выставках и (или) ярмарках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14:paraId="3B906895" w14:textId="77777777" w:rsidR="00DD13B4" w:rsidRPr="00E96AB3" w:rsidRDefault="00DD13B4" w:rsidP="0073702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E08E4D0" w14:textId="77777777" w:rsidR="00DD13B4" w:rsidRPr="00C12086" w:rsidRDefault="00DD13B4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2019-2022</w:t>
            </w:r>
          </w:p>
        </w:tc>
        <w:tc>
          <w:tcPr>
            <w:tcW w:w="3402" w:type="dxa"/>
            <w:shd w:val="clear" w:color="auto" w:fill="auto"/>
          </w:tcPr>
          <w:p w14:paraId="263EBA62" w14:textId="77777777" w:rsidR="00DD13B4" w:rsidRPr="00D80636" w:rsidRDefault="00DD13B4" w:rsidP="00737026">
            <w:pPr>
              <w:pStyle w:val="Con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6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</w:t>
            </w:r>
            <w:r w:rsidRPr="00D80636">
              <w:rPr>
                <w:rFonts w:ascii="Times New Roman" w:hAnsi="Times New Roman" w:cs="Times New Roman"/>
                <w:sz w:val="24"/>
                <w:szCs w:val="24"/>
              </w:rPr>
              <w:t>по объему продукции произведенной из водных биоресурсов, (проценты)</w:t>
            </w:r>
          </w:p>
        </w:tc>
        <w:tc>
          <w:tcPr>
            <w:tcW w:w="1931" w:type="dxa"/>
            <w:gridSpan w:val="2"/>
            <w:shd w:val="clear" w:color="auto" w:fill="auto"/>
          </w:tcPr>
          <w:p w14:paraId="4F810BA1" w14:textId="77777777" w:rsidR="00DD13B4" w:rsidRPr="00C12086" w:rsidRDefault="00EA101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933" w:type="dxa"/>
            <w:shd w:val="clear" w:color="auto" w:fill="auto"/>
          </w:tcPr>
          <w:p w14:paraId="24A80B03" w14:textId="77777777" w:rsidR="00DD13B4" w:rsidRPr="00C12086" w:rsidRDefault="00EA1016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806" w:type="dxa"/>
            <w:shd w:val="clear" w:color="auto" w:fill="auto"/>
          </w:tcPr>
          <w:p w14:paraId="5DBB3EAA" w14:textId="77777777" w:rsidR="00DD13B4" w:rsidRPr="0024547F" w:rsidRDefault="00EA1016" w:rsidP="00737026">
            <w:pPr>
              <w:pStyle w:val="Con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54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Предприятия участвуют в ярмарках  выходного дня, в праздничных продовольственных ярмарках (выставках)</w:t>
            </w:r>
          </w:p>
        </w:tc>
      </w:tr>
      <w:tr w:rsidR="00DD13B4" w:rsidRPr="00C12086" w14:paraId="1DAB1D7C" w14:textId="77777777" w:rsidTr="00EA1016">
        <w:trPr>
          <w:trHeight w:val="70"/>
        </w:trPr>
        <w:tc>
          <w:tcPr>
            <w:tcW w:w="675" w:type="dxa"/>
            <w:shd w:val="clear" w:color="auto" w:fill="auto"/>
          </w:tcPr>
          <w:p w14:paraId="42D4AA18" w14:textId="77777777" w:rsidR="00DD13B4" w:rsidRDefault="00DD13B4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1.5.2</w:t>
            </w:r>
          </w:p>
        </w:tc>
        <w:tc>
          <w:tcPr>
            <w:tcW w:w="3544" w:type="dxa"/>
            <w:shd w:val="clear" w:color="auto" w:fill="auto"/>
          </w:tcPr>
          <w:p w14:paraId="738E335B" w14:textId="77777777" w:rsidR="00DD13B4" w:rsidRPr="00E96AB3" w:rsidRDefault="00DD13B4" w:rsidP="0073702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программе «Поддержка и развитие субъектов малого и среднего предпринимательства в Балахтинском районе» </w:t>
            </w:r>
          </w:p>
        </w:tc>
        <w:tc>
          <w:tcPr>
            <w:tcW w:w="1559" w:type="dxa"/>
            <w:shd w:val="clear" w:color="auto" w:fill="auto"/>
          </w:tcPr>
          <w:p w14:paraId="315525B1" w14:textId="77777777" w:rsidR="00DD13B4" w:rsidRPr="00C12086" w:rsidRDefault="00DD13B4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2019-2022</w:t>
            </w:r>
          </w:p>
        </w:tc>
        <w:tc>
          <w:tcPr>
            <w:tcW w:w="3402" w:type="dxa"/>
            <w:shd w:val="clear" w:color="auto" w:fill="auto"/>
          </w:tcPr>
          <w:p w14:paraId="2A93C60D" w14:textId="77777777" w:rsidR="00DD13B4" w:rsidRPr="00C12086" w:rsidRDefault="00DD13B4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14:paraId="0221B6E5" w14:textId="77777777" w:rsidR="00DD13B4" w:rsidRPr="00C12086" w:rsidRDefault="00DD13B4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33" w:type="dxa"/>
            <w:shd w:val="clear" w:color="auto" w:fill="auto"/>
          </w:tcPr>
          <w:p w14:paraId="62721E52" w14:textId="77777777" w:rsidR="00DD13B4" w:rsidRPr="00C12086" w:rsidRDefault="00DD13B4" w:rsidP="0073702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06" w:type="dxa"/>
            <w:shd w:val="clear" w:color="auto" w:fill="auto"/>
          </w:tcPr>
          <w:p w14:paraId="4F02134C" w14:textId="77777777" w:rsidR="00DD13B4" w:rsidRPr="0024547F" w:rsidRDefault="00EA1016" w:rsidP="00EA1016">
            <w:pPr>
              <w:pStyle w:val="Con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54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Разработаны мероприятия о возмещении затрат на приобретение оборудования по производству и переработки продукции</w:t>
            </w:r>
          </w:p>
        </w:tc>
      </w:tr>
    </w:tbl>
    <w:p w14:paraId="4896CD7A" w14:textId="77777777" w:rsidR="0065559B" w:rsidRDefault="0065559B" w:rsidP="0065559B">
      <w:pPr>
        <w:pStyle w:val="a3"/>
        <w:shd w:val="clear" w:color="auto" w:fill="FFFFFF"/>
        <w:ind w:left="360"/>
        <w:rPr>
          <w:color w:val="000000"/>
        </w:rPr>
      </w:pPr>
      <w:r>
        <w:rPr>
          <w:color w:val="000000"/>
        </w:rPr>
        <w:t xml:space="preserve"> </w:t>
      </w:r>
    </w:p>
    <w:p w14:paraId="5C559A55" w14:textId="77777777" w:rsidR="0065559B" w:rsidRDefault="0065559B" w:rsidP="0065559B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9329E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0C1336">
        <w:rPr>
          <w:color w:val="000000"/>
          <w:sz w:val="28"/>
          <w:szCs w:val="28"/>
        </w:rPr>
        <w:t>Системные мероприятия по содействию развития конкуренции</w:t>
      </w:r>
      <w:r>
        <w:rPr>
          <w:color w:val="000000"/>
          <w:sz w:val="28"/>
          <w:szCs w:val="28"/>
        </w:rPr>
        <w:t xml:space="preserve"> в Балахтинском </w:t>
      </w:r>
      <w:proofErr w:type="gramStart"/>
      <w:r>
        <w:rPr>
          <w:color w:val="000000"/>
          <w:sz w:val="28"/>
          <w:szCs w:val="28"/>
        </w:rPr>
        <w:t xml:space="preserve">районе </w:t>
      </w:r>
      <w:r w:rsidRPr="000C1336">
        <w:rPr>
          <w:color w:val="000000"/>
          <w:sz w:val="28"/>
          <w:szCs w:val="28"/>
        </w:rPr>
        <w:t xml:space="preserve"> Красноярского</w:t>
      </w:r>
      <w:proofErr w:type="gramEnd"/>
      <w:r w:rsidRPr="000C1336">
        <w:rPr>
          <w:color w:val="000000"/>
          <w:sz w:val="28"/>
          <w:szCs w:val="28"/>
        </w:rPr>
        <w:t xml:space="preserve"> края</w:t>
      </w:r>
    </w:p>
    <w:p w14:paraId="5B0EA6FD" w14:textId="77777777" w:rsidR="00C6545C" w:rsidRDefault="00C6545C" w:rsidP="0065559B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</w:p>
    <w:p w14:paraId="5C291844" w14:textId="77777777" w:rsidR="00C6545C" w:rsidRDefault="00C6545C" w:rsidP="0065559B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</w:p>
    <w:tbl>
      <w:tblPr>
        <w:tblStyle w:val="a9"/>
        <w:tblW w:w="14519" w:type="dxa"/>
        <w:tblInd w:w="360" w:type="dxa"/>
        <w:tblLook w:val="04A0" w:firstRow="1" w:lastRow="0" w:firstColumn="1" w:lastColumn="0" w:noHBand="0" w:noVBand="1"/>
      </w:tblPr>
      <w:tblGrid>
        <w:gridCol w:w="769"/>
        <w:gridCol w:w="3822"/>
        <w:gridCol w:w="8369"/>
        <w:gridCol w:w="1559"/>
      </w:tblGrid>
      <w:tr w:rsidR="00C6545C" w14:paraId="38315A10" w14:textId="77777777" w:rsidTr="00C6545C">
        <w:tc>
          <w:tcPr>
            <w:tcW w:w="769" w:type="dxa"/>
          </w:tcPr>
          <w:p w14:paraId="2F94D92C" w14:textId="77777777" w:rsidR="00C6545C" w:rsidRPr="000C1336" w:rsidRDefault="00C6545C" w:rsidP="00C654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36">
              <w:rPr>
                <w:color w:val="000000"/>
                <w:sz w:val="24"/>
                <w:szCs w:val="24"/>
              </w:rPr>
              <w:t>№</w:t>
            </w:r>
          </w:p>
          <w:p w14:paraId="7C5C391C" w14:textId="77777777" w:rsidR="00C6545C" w:rsidRPr="000C1336" w:rsidRDefault="00C6545C" w:rsidP="00C654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36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22" w:type="dxa"/>
          </w:tcPr>
          <w:p w14:paraId="7907D5FD" w14:textId="77777777" w:rsidR="00C6545C" w:rsidRPr="000C1336" w:rsidRDefault="00C6545C" w:rsidP="00C654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36">
              <w:rPr>
                <w:color w:val="000000"/>
                <w:sz w:val="24"/>
                <w:szCs w:val="24"/>
              </w:rPr>
              <w:t>Наименование</w:t>
            </w:r>
          </w:p>
          <w:p w14:paraId="3CA93DA0" w14:textId="77777777" w:rsidR="00C6545C" w:rsidRPr="000C1336" w:rsidRDefault="00C6545C" w:rsidP="00C654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36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8369" w:type="dxa"/>
          </w:tcPr>
          <w:p w14:paraId="43AE0090" w14:textId="77777777" w:rsidR="00C6545C" w:rsidRPr="000C1336" w:rsidRDefault="00C6545C" w:rsidP="00C654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36">
              <w:rPr>
                <w:color w:val="000000"/>
                <w:sz w:val="24"/>
                <w:szCs w:val="24"/>
              </w:rPr>
              <w:t>Результат выполнения мероприятий</w:t>
            </w:r>
          </w:p>
          <w:p w14:paraId="05585B33" w14:textId="77777777" w:rsidR="00C6545C" w:rsidRPr="000C1336" w:rsidRDefault="00C6545C" w:rsidP="00C654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36">
              <w:rPr>
                <w:color w:val="000000"/>
                <w:sz w:val="24"/>
                <w:szCs w:val="24"/>
              </w:rPr>
              <w:t> </w:t>
            </w:r>
          </w:p>
          <w:p w14:paraId="29AF6090" w14:textId="77777777" w:rsidR="00C6545C" w:rsidRPr="000C1336" w:rsidRDefault="00C6545C" w:rsidP="00C654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36">
              <w:rPr>
                <w:color w:val="000000"/>
                <w:sz w:val="24"/>
                <w:szCs w:val="24"/>
              </w:rPr>
              <w:t> </w:t>
            </w:r>
          </w:p>
          <w:p w14:paraId="48182E28" w14:textId="77777777" w:rsidR="00C6545C" w:rsidRPr="000C1336" w:rsidRDefault="00C6545C" w:rsidP="00C654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14:paraId="62AF970F" w14:textId="77777777" w:rsidR="00C6545C" w:rsidRPr="000C1336" w:rsidRDefault="00C6545C" w:rsidP="00C654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36">
              <w:rPr>
                <w:color w:val="000000"/>
                <w:sz w:val="24"/>
                <w:szCs w:val="24"/>
              </w:rPr>
              <w:t>Срок</w:t>
            </w:r>
          </w:p>
          <w:p w14:paraId="05431530" w14:textId="77777777" w:rsidR="00C6545C" w:rsidRPr="000C1336" w:rsidRDefault="00C6545C" w:rsidP="00C654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36">
              <w:rPr>
                <w:color w:val="000000"/>
                <w:sz w:val="24"/>
                <w:szCs w:val="24"/>
              </w:rPr>
              <w:t>исполнения</w:t>
            </w:r>
          </w:p>
          <w:p w14:paraId="799073C7" w14:textId="77777777" w:rsidR="00C6545C" w:rsidRPr="000C1336" w:rsidRDefault="00C6545C" w:rsidP="00C654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36">
              <w:rPr>
                <w:color w:val="000000"/>
                <w:sz w:val="24"/>
                <w:szCs w:val="24"/>
              </w:rPr>
              <w:t>мероприятия</w:t>
            </w:r>
          </w:p>
          <w:p w14:paraId="35B692FA" w14:textId="77777777" w:rsidR="00C6545C" w:rsidRPr="000C1336" w:rsidRDefault="00C6545C" w:rsidP="00C6545C">
            <w:pPr>
              <w:ind w:firstLine="7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545C" w14:paraId="664CE835" w14:textId="77777777" w:rsidTr="00C6545C">
        <w:tc>
          <w:tcPr>
            <w:tcW w:w="769" w:type="dxa"/>
          </w:tcPr>
          <w:p w14:paraId="5858D81A" w14:textId="77777777" w:rsidR="00C6545C" w:rsidRDefault="00C6545C" w:rsidP="00C6545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2" w:type="dxa"/>
          </w:tcPr>
          <w:p w14:paraId="63673170" w14:textId="77777777" w:rsidR="00C6545C" w:rsidRPr="000C1336" w:rsidRDefault="00C6545C" w:rsidP="00C6545C">
            <w:pPr>
              <w:spacing w:line="17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36">
              <w:rPr>
                <w:sz w:val="24"/>
                <w:szCs w:val="24"/>
              </w:rPr>
              <w:t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  <w:r w:rsidRPr="000C13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9" w:type="dxa"/>
          </w:tcPr>
          <w:p w14:paraId="08E08748" w14:textId="0128DBD2" w:rsidR="00C6545C" w:rsidRPr="000C1336" w:rsidRDefault="00C6545C" w:rsidP="00C6545C">
            <w:pPr>
              <w:spacing w:line="17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DAF">
              <w:rPr>
                <w:sz w:val="24"/>
                <w:szCs w:val="24"/>
              </w:rPr>
              <w:t xml:space="preserve"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соответствии с законодательством о контрактной системе, в общей стоимости заключенных муниципальных </w:t>
            </w:r>
            <w:proofErr w:type="gramStart"/>
            <w:r w:rsidRPr="00C90DAF">
              <w:rPr>
                <w:sz w:val="24"/>
                <w:szCs w:val="24"/>
              </w:rPr>
              <w:t>контрактов,  составляет</w:t>
            </w:r>
            <w:proofErr w:type="gramEnd"/>
            <w:r w:rsidR="0076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около 50%</w:t>
            </w:r>
            <w:r w:rsidRPr="00C90DAF">
              <w:rPr>
                <w:b/>
                <w:color w:val="FF0000"/>
                <w:sz w:val="24"/>
                <w:szCs w:val="24"/>
              </w:rPr>
              <w:t>.</w:t>
            </w:r>
            <w:r w:rsidRPr="00C90DAF">
              <w:rPr>
                <w:color w:val="FF0000"/>
                <w:sz w:val="24"/>
                <w:szCs w:val="24"/>
              </w:rPr>
              <w:t xml:space="preserve"> </w:t>
            </w:r>
            <w:r w:rsidRPr="00C90DAF">
              <w:rPr>
                <w:sz w:val="24"/>
                <w:szCs w:val="24"/>
              </w:rPr>
              <w:t xml:space="preserve">В 2022 г. необходимо обеспечить дальнейшее стимулирование конкуренции в сфере закупок в целях поддержания субъектов малого и среднего предпринимательства путем </w:t>
            </w:r>
            <w:proofErr w:type="gramStart"/>
            <w:r w:rsidRPr="00C90DAF">
              <w:rPr>
                <w:sz w:val="24"/>
                <w:szCs w:val="24"/>
              </w:rPr>
              <w:t>сохранения  достигнутых</w:t>
            </w:r>
            <w:proofErr w:type="gramEnd"/>
            <w:r w:rsidRPr="00C90DAF">
              <w:rPr>
                <w:sz w:val="24"/>
                <w:szCs w:val="24"/>
              </w:rPr>
              <w:t xml:space="preserve"> показателей  по доле участия субъектов малого и среднего предпринимательства в закупках товаров, работ, услуг, осуществляемых с </w:t>
            </w:r>
            <w:r w:rsidRPr="00C90DAF">
              <w:rPr>
                <w:sz w:val="24"/>
                <w:szCs w:val="24"/>
              </w:rPr>
              <w:lastRenderedPageBreak/>
              <w:t xml:space="preserve">использованием конкурентных способов определения поставщиков (подрядчиков, исполнителей).  При организации закупок обеспечиваются равные условия для участия всех участников. Не устанавливаются требования к условиям исполнения контрактов или требования к поставляемым товарам, работам, услугам, которые ограничивают число участников закупок.  </w:t>
            </w:r>
          </w:p>
        </w:tc>
        <w:tc>
          <w:tcPr>
            <w:tcW w:w="1559" w:type="dxa"/>
          </w:tcPr>
          <w:p w14:paraId="28B296B8" w14:textId="77777777" w:rsidR="00C6545C" w:rsidRPr="00431F2A" w:rsidRDefault="00C6545C" w:rsidP="00C6545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431F2A">
              <w:rPr>
                <w:rFonts w:eastAsia="Calibri"/>
                <w:sz w:val="24"/>
                <w:szCs w:val="24"/>
              </w:rPr>
              <w:lastRenderedPageBreak/>
              <w:t>2019-2022</w:t>
            </w:r>
            <w:r w:rsidRPr="00431F2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545C" w14:paraId="2BAD1D1B" w14:textId="77777777" w:rsidTr="00C6545C">
        <w:tc>
          <w:tcPr>
            <w:tcW w:w="769" w:type="dxa"/>
          </w:tcPr>
          <w:p w14:paraId="2F753184" w14:textId="77777777" w:rsidR="00C6545C" w:rsidRDefault="00C6545C" w:rsidP="00C6545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2" w:type="dxa"/>
          </w:tcPr>
          <w:p w14:paraId="3DF95CE2" w14:textId="77777777" w:rsidR="00C6545C" w:rsidRDefault="00C6545C" w:rsidP="00C6545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0C1336">
              <w:rPr>
                <w:sz w:val="24"/>
                <w:szCs w:val="24"/>
              </w:rPr>
              <w:t>Создание единого портала закупок по  муниципальным контрактам (либо использование имеющихся порталов), стоимость которых не превышает 100 тысяч рублей</w:t>
            </w:r>
          </w:p>
        </w:tc>
        <w:tc>
          <w:tcPr>
            <w:tcW w:w="8369" w:type="dxa"/>
          </w:tcPr>
          <w:p w14:paraId="226D3254" w14:textId="77777777" w:rsidR="00C6545C" w:rsidRDefault="00C6545C" w:rsidP="00C6545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B60CF5">
              <w:rPr>
                <w:sz w:val="24"/>
                <w:szCs w:val="24"/>
              </w:rPr>
              <w:t>Информация о проведении закупок размещается на едином портале</w:t>
            </w:r>
            <w:r>
              <w:rPr>
                <w:sz w:val="24"/>
                <w:szCs w:val="24"/>
              </w:rPr>
              <w:t xml:space="preserve">. </w:t>
            </w:r>
            <w:r w:rsidRPr="00C90DAF">
              <w:rPr>
                <w:sz w:val="24"/>
                <w:szCs w:val="24"/>
              </w:rPr>
              <w:t>Развитие конкуренции при осуществлении процедур муниципальных закупок,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1559" w:type="dxa"/>
          </w:tcPr>
          <w:p w14:paraId="52308D64" w14:textId="77777777" w:rsidR="00C6545C" w:rsidRPr="00431F2A" w:rsidRDefault="00C6545C" w:rsidP="00C6545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431F2A">
              <w:rPr>
                <w:color w:val="000000"/>
                <w:sz w:val="24"/>
                <w:szCs w:val="24"/>
              </w:rPr>
              <w:t>2019-2022</w:t>
            </w:r>
          </w:p>
        </w:tc>
      </w:tr>
      <w:tr w:rsidR="00C6545C" w14:paraId="383D3069" w14:textId="77777777" w:rsidTr="00C6545C">
        <w:tc>
          <w:tcPr>
            <w:tcW w:w="769" w:type="dxa"/>
          </w:tcPr>
          <w:p w14:paraId="2B425E3D" w14:textId="77777777" w:rsidR="00C6545C" w:rsidRDefault="00C6545C" w:rsidP="00C6545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2" w:type="dxa"/>
          </w:tcPr>
          <w:p w14:paraId="2C26244D" w14:textId="77777777" w:rsidR="00C6545C" w:rsidRPr="000C1336" w:rsidRDefault="00C6545C" w:rsidP="00C6545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36">
              <w:rPr>
                <w:sz w:val="24"/>
                <w:szCs w:val="24"/>
              </w:rP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8369" w:type="dxa"/>
          </w:tcPr>
          <w:p w14:paraId="4E4B6527" w14:textId="77777777" w:rsidR="00C6545C" w:rsidRPr="00C90DAF" w:rsidRDefault="00C6545C" w:rsidP="00C6545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DAF">
              <w:rPr>
                <w:rFonts w:ascii="Times New Roman" w:hAnsi="Times New Roman"/>
                <w:sz w:val="24"/>
                <w:szCs w:val="24"/>
              </w:rPr>
              <w:t>Утверждены Регламенты предоставления муниципальных услуг. Муниципальные услуги оказываются через Многофункциональные центры (МФЦ), а также специалистами администрации района</w:t>
            </w:r>
          </w:p>
        </w:tc>
        <w:tc>
          <w:tcPr>
            <w:tcW w:w="1559" w:type="dxa"/>
          </w:tcPr>
          <w:p w14:paraId="3D747870" w14:textId="77777777" w:rsidR="00C6545C" w:rsidRPr="00431F2A" w:rsidRDefault="00C6545C" w:rsidP="00C6545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431F2A">
              <w:rPr>
                <w:color w:val="000000"/>
                <w:sz w:val="24"/>
                <w:szCs w:val="24"/>
              </w:rPr>
              <w:t>2019-2022</w:t>
            </w:r>
          </w:p>
        </w:tc>
      </w:tr>
      <w:tr w:rsidR="00C6545C" w14:paraId="294172DD" w14:textId="77777777" w:rsidTr="00C6545C">
        <w:tc>
          <w:tcPr>
            <w:tcW w:w="769" w:type="dxa"/>
          </w:tcPr>
          <w:p w14:paraId="1E77102D" w14:textId="77777777" w:rsidR="00C6545C" w:rsidRDefault="00C6545C" w:rsidP="00C6545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2" w:type="dxa"/>
          </w:tcPr>
          <w:p w14:paraId="58B454A1" w14:textId="77777777" w:rsidR="00C6545C" w:rsidRPr="000C1336" w:rsidRDefault="00C6545C" w:rsidP="00C6545C">
            <w:pPr>
              <w:jc w:val="both"/>
              <w:rPr>
                <w:color w:val="000000"/>
                <w:sz w:val="24"/>
                <w:szCs w:val="24"/>
              </w:rPr>
            </w:pPr>
            <w:r w:rsidRPr="000C1336">
              <w:rPr>
                <w:sz w:val="24"/>
                <w:szCs w:val="24"/>
              </w:rPr>
      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 муниципальных образований и экспертизы нормативных правовых актов  муниципальных образований, устанавливаемые в соответствии с Федеральными законами "</w:t>
            </w:r>
            <w:hyperlink r:id="rId5" w:history="1">
              <w:r w:rsidRPr="000C1336">
                <w:rPr>
                  <w:color w:val="0000FF"/>
                  <w:sz w:val="24"/>
                  <w:szCs w:val="24"/>
                </w:rPr>
                <w:t>Об общих принципах</w:t>
              </w:r>
            </w:hyperlink>
            <w:r w:rsidRPr="000C1336">
              <w:rPr>
                <w:sz w:val="24"/>
                <w:szCs w:val="24"/>
              </w:rPr>
              <w:t xml:space="preserve"> организации местного самоуправления в Российской Федерации" по вопросам оценки регулирующего воздействия проектов </w:t>
            </w:r>
            <w:r w:rsidRPr="000C1336">
              <w:rPr>
                <w:sz w:val="24"/>
                <w:szCs w:val="24"/>
              </w:rPr>
              <w:lastRenderedPageBreak/>
              <w:t>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</w:t>
            </w:r>
          </w:p>
        </w:tc>
        <w:tc>
          <w:tcPr>
            <w:tcW w:w="8369" w:type="dxa"/>
          </w:tcPr>
          <w:p w14:paraId="191F8CDE" w14:textId="77777777" w:rsidR="00C6545C" w:rsidRPr="000052D3" w:rsidRDefault="00C6545C" w:rsidP="00C6545C">
            <w:pPr>
              <w:pStyle w:val="a5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0052D3">
              <w:rPr>
                <w:rFonts w:ascii="Times New Roman" w:hAnsi="Times New Roman"/>
                <w:sz w:val="24"/>
                <w:szCs w:val="24"/>
              </w:rPr>
              <w:lastRenderedPageBreak/>
              <w:t>Проекты нормативно-правовых актов, затрагивающих вопросы осуществления инвестиционной и предпринимательской деятельности, проходят процедуру общественного обсуждения согласно постановления администрации района от 04.04.2017 № 230 «</w:t>
            </w:r>
            <w:r w:rsidRPr="000052D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Об оценке регулирующего воздействия проектов нормативных правовых актов </w:t>
            </w:r>
            <w:proofErr w:type="gramStart"/>
            <w:r w:rsidRPr="000052D3">
              <w:rPr>
                <w:rStyle w:val="a6"/>
                <w:rFonts w:ascii="Times New Roman" w:hAnsi="Times New Roman"/>
                <w:sz w:val="24"/>
                <w:szCs w:val="24"/>
              </w:rPr>
              <w:t>и  экспертизе</w:t>
            </w:r>
            <w:proofErr w:type="gramEnd"/>
            <w:r w:rsidRPr="000052D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нормативных правовых актов администрации  Балахтинского района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>».</w:t>
            </w:r>
            <w:r w:rsidRPr="000052D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6BD519" w14:textId="77777777" w:rsidR="00C6545C" w:rsidRPr="000052D3" w:rsidRDefault="00C6545C" w:rsidP="00C6545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2D3">
              <w:rPr>
                <w:rFonts w:ascii="Times New Roman" w:hAnsi="Times New Roman"/>
                <w:sz w:val="24"/>
                <w:szCs w:val="24"/>
              </w:rPr>
              <w:t xml:space="preserve">При проведении общественного обсуждения информация размещается на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Балахтинского района.</w:t>
            </w:r>
            <w:r w:rsidRPr="0000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DAFF9E" w14:textId="77777777" w:rsidR="00C6545C" w:rsidRPr="004A4DDE" w:rsidRDefault="00C6545C" w:rsidP="00C6545C"/>
        </w:tc>
        <w:tc>
          <w:tcPr>
            <w:tcW w:w="1559" w:type="dxa"/>
          </w:tcPr>
          <w:p w14:paraId="7D8D1A93" w14:textId="77777777" w:rsidR="00C6545C" w:rsidRPr="00431F2A" w:rsidRDefault="00402AC0" w:rsidP="00C6545C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431F2A">
              <w:rPr>
                <w:color w:val="000000"/>
                <w:sz w:val="24"/>
                <w:szCs w:val="24"/>
              </w:rPr>
              <w:t>2019-2022</w:t>
            </w:r>
          </w:p>
        </w:tc>
      </w:tr>
      <w:tr w:rsidR="00C6545C" w14:paraId="394EAF4A" w14:textId="77777777" w:rsidTr="00C6545C">
        <w:tc>
          <w:tcPr>
            <w:tcW w:w="769" w:type="dxa"/>
          </w:tcPr>
          <w:p w14:paraId="4EE04CB2" w14:textId="77777777" w:rsidR="00C6545C" w:rsidRDefault="00C6545C" w:rsidP="00C6545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2" w:type="dxa"/>
          </w:tcPr>
          <w:p w14:paraId="0DEB1C4A" w14:textId="77777777" w:rsidR="00C6545C" w:rsidRPr="00364EAB" w:rsidRDefault="00C6545C" w:rsidP="00C6545C">
            <w:pPr>
              <w:jc w:val="both"/>
              <w:rPr>
                <w:color w:val="000000"/>
                <w:sz w:val="24"/>
                <w:szCs w:val="24"/>
              </w:rPr>
            </w:pPr>
            <w:r w:rsidRPr="00364EAB">
              <w:rPr>
                <w:sz w:val="24"/>
                <w:szCs w:val="24"/>
              </w:rPr>
              <w:t>Размещение в открытом доступе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8369" w:type="dxa"/>
          </w:tcPr>
          <w:p w14:paraId="0FA8EB46" w14:textId="2CFE837B" w:rsidR="00C6545C" w:rsidRPr="00B60CF5" w:rsidRDefault="00C6545C" w:rsidP="00C6545C">
            <w:pPr>
              <w:jc w:val="both"/>
              <w:rPr>
                <w:sz w:val="24"/>
                <w:szCs w:val="24"/>
              </w:rPr>
            </w:pPr>
            <w:r w:rsidRPr="00B60CF5">
              <w:rPr>
                <w:sz w:val="24"/>
                <w:szCs w:val="24"/>
              </w:rPr>
              <w:t>Реестр муниципального имущества размещен в открытом доступе</w:t>
            </w:r>
            <w:r w:rsidR="000100D3">
              <w:rPr>
                <w:sz w:val="24"/>
                <w:szCs w:val="24"/>
              </w:rPr>
              <w:t>, ежегодно пополняется перечень имущества для субъектов МСП.</w:t>
            </w:r>
            <w:r w:rsidRPr="00B60CF5">
              <w:rPr>
                <w:sz w:val="24"/>
                <w:szCs w:val="24"/>
              </w:rPr>
              <w:t xml:space="preserve"> Информация о конкурсе реализации имущества</w:t>
            </w:r>
            <w:r w:rsidR="000100D3">
              <w:rPr>
                <w:sz w:val="24"/>
                <w:szCs w:val="24"/>
              </w:rPr>
              <w:t xml:space="preserve"> в том числе земельных участков</w:t>
            </w:r>
            <w:r w:rsidRPr="00B60CF5">
              <w:rPr>
                <w:sz w:val="24"/>
                <w:szCs w:val="24"/>
              </w:rPr>
              <w:t xml:space="preserve"> размещается на официальном сайте Балахтинского района</w:t>
            </w:r>
          </w:p>
        </w:tc>
        <w:tc>
          <w:tcPr>
            <w:tcW w:w="1559" w:type="dxa"/>
          </w:tcPr>
          <w:p w14:paraId="5E568C3B" w14:textId="77777777" w:rsidR="00C6545C" w:rsidRPr="00364EAB" w:rsidRDefault="00C6545C" w:rsidP="00C6545C">
            <w:pPr>
              <w:jc w:val="center"/>
              <w:rPr>
                <w:color w:val="000000"/>
                <w:sz w:val="24"/>
                <w:szCs w:val="24"/>
              </w:rPr>
            </w:pPr>
            <w:r w:rsidRPr="00364EAB">
              <w:rPr>
                <w:color w:val="000000"/>
                <w:sz w:val="24"/>
                <w:szCs w:val="24"/>
              </w:rPr>
              <w:t>2019-2022</w:t>
            </w:r>
          </w:p>
        </w:tc>
      </w:tr>
      <w:tr w:rsidR="00C6545C" w14:paraId="41C7093D" w14:textId="77777777" w:rsidTr="00C6545C">
        <w:tc>
          <w:tcPr>
            <w:tcW w:w="769" w:type="dxa"/>
          </w:tcPr>
          <w:p w14:paraId="1AA78D64" w14:textId="77777777" w:rsidR="00C6545C" w:rsidRDefault="00C6545C" w:rsidP="00C6545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2" w:type="dxa"/>
          </w:tcPr>
          <w:p w14:paraId="28E7F133" w14:textId="77777777" w:rsidR="00C6545C" w:rsidRDefault="00C6545C" w:rsidP="00C6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образовательных мероприятий</w:t>
            </w:r>
          </w:p>
          <w:p w14:paraId="651CEA05" w14:textId="77777777" w:rsidR="00C6545C" w:rsidRPr="00364EAB" w:rsidRDefault="00C6545C" w:rsidP="00C6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направленный на стимулирование  новых предпринимательских инициатив, а также повышение уровня финансовой грамотности</w:t>
            </w:r>
          </w:p>
        </w:tc>
        <w:tc>
          <w:tcPr>
            <w:tcW w:w="8369" w:type="dxa"/>
          </w:tcPr>
          <w:p w14:paraId="214AC05F" w14:textId="77777777" w:rsidR="00402AC0" w:rsidRPr="00E50CAE" w:rsidRDefault="00C6545C" w:rsidP="00402AC0">
            <w:pPr>
              <w:pStyle w:val="a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2AC0">
              <w:rPr>
                <w:rFonts w:ascii="Times New Roman" w:hAnsi="Times New Roman"/>
                <w:sz w:val="24"/>
                <w:szCs w:val="24"/>
              </w:rPr>
              <w:t>Обеспечен доступ к информационным образовательным ресурсам. Ежеквартально проводятся обучающие мероприятий</w:t>
            </w:r>
            <w:r w:rsidR="00402AC0" w:rsidRPr="00402AC0">
              <w:rPr>
                <w:rFonts w:ascii="Times New Roman" w:hAnsi="Times New Roman"/>
                <w:sz w:val="24"/>
                <w:szCs w:val="24"/>
              </w:rPr>
              <w:t xml:space="preserve"> для субъектов МСП. «</w:t>
            </w:r>
            <w:r w:rsidR="00402AC0" w:rsidRPr="00E50CAE">
              <w:rPr>
                <w:rFonts w:ascii="Times New Roman" w:hAnsi="Times New Roman"/>
                <w:sz w:val="24"/>
                <w:szCs w:val="24"/>
              </w:rPr>
              <w:t xml:space="preserve">Ключевые моменты переходного периода на иные системы налогообложения в 2021 году, и применение ККТ», </w:t>
            </w:r>
          </w:p>
          <w:p w14:paraId="4BC2CE55" w14:textId="10191C1B" w:rsidR="00C6545C" w:rsidRPr="00402AC0" w:rsidRDefault="00402AC0" w:rsidP="00402AC0">
            <w:pPr>
              <w:jc w:val="both"/>
              <w:rPr>
                <w:sz w:val="28"/>
                <w:szCs w:val="28"/>
              </w:rPr>
            </w:pPr>
            <w:r w:rsidRPr="00E50CAE">
              <w:rPr>
                <w:sz w:val="24"/>
                <w:szCs w:val="24"/>
              </w:rPr>
              <w:t xml:space="preserve"> «Изменения в законодательстве по надзору в сфере защиты прав потребителей и благополучия </w:t>
            </w:r>
            <w:proofErr w:type="gramStart"/>
            <w:r w:rsidRPr="00E50CAE">
              <w:rPr>
                <w:sz w:val="24"/>
                <w:szCs w:val="24"/>
              </w:rPr>
              <w:t>человека  в</w:t>
            </w:r>
            <w:proofErr w:type="gramEnd"/>
            <w:r w:rsidRPr="00E50CAE">
              <w:rPr>
                <w:sz w:val="24"/>
                <w:szCs w:val="24"/>
              </w:rPr>
              <w:t xml:space="preserve"> 202</w:t>
            </w:r>
            <w:r w:rsidR="000100D3">
              <w:rPr>
                <w:sz w:val="24"/>
                <w:szCs w:val="24"/>
              </w:rPr>
              <w:t>1</w:t>
            </w:r>
            <w:r w:rsidRPr="00E50CAE">
              <w:rPr>
                <w:sz w:val="24"/>
                <w:szCs w:val="24"/>
              </w:rPr>
              <w:t xml:space="preserve"> году», «Особенности маркировки товаров», «Финансовая поддержка субъектов малого и среднего предпринимательства»,</w:t>
            </w:r>
          </w:p>
        </w:tc>
        <w:tc>
          <w:tcPr>
            <w:tcW w:w="1559" w:type="dxa"/>
          </w:tcPr>
          <w:p w14:paraId="0B727A35" w14:textId="77777777" w:rsidR="00C6545C" w:rsidRPr="00364EAB" w:rsidRDefault="00C6545C" w:rsidP="00C6545C">
            <w:pPr>
              <w:jc w:val="center"/>
              <w:rPr>
                <w:color w:val="000000"/>
                <w:sz w:val="24"/>
                <w:szCs w:val="24"/>
              </w:rPr>
            </w:pPr>
            <w:r w:rsidRPr="00364EAB">
              <w:rPr>
                <w:color w:val="000000"/>
                <w:sz w:val="24"/>
                <w:szCs w:val="24"/>
              </w:rPr>
              <w:t>2019-2022</w:t>
            </w:r>
          </w:p>
        </w:tc>
      </w:tr>
    </w:tbl>
    <w:p w14:paraId="369D42E0" w14:textId="77777777" w:rsidR="00C6545C" w:rsidRDefault="00C6545C" w:rsidP="0065559B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</w:p>
    <w:p w14:paraId="4A1B5807" w14:textId="77777777" w:rsidR="002B5BB1" w:rsidRDefault="002B5BB1"/>
    <w:sectPr w:rsidR="002B5BB1" w:rsidSect="006555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CC9"/>
    <w:rsid w:val="00002E32"/>
    <w:rsid w:val="00003CE0"/>
    <w:rsid w:val="000100D3"/>
    <w:rsid w:val="000237AF"/>
    <w:rsid w:val="00026072"/>
    <w:rsid w:val="00031690"/>
    <w:rsid w:val="00035C0C"/>
    <w:rsid w:val="00045422"/>
    <w:rsid w:val="00054060"/>
    <w:rsid w:val="00056847"/>
    <w:rsid w:val="000B05C2"/>
    <w:rsid w:val="000E6C67"/>
    <w:rsid w:val="001132FD"/>
    <w:rsid w:val="00130C17"/>
    <w:rsid w:val="00141D8F"/>
    <w:rsid w:val="00144F34"/>
    <w:rsid w:val="00150440"/>
    <w:rsid w:val="001512A5"/>
    <w:rsid w:val="00154448"/>
    <w:rsid w:val="001911D7"/>
    <w:rsid w:val="00195A22"/>
    <w:rsid w:val="001F1BD9"/>
    <w:rsid w:val="001F482B"/>
    <w:rsid w:val="002129A6"/>
    <w:rsid w:val="002309AA"/>
    <w:rsid w:val="002431E7"/>
    <w:rsid w:val="00243330"/>
    <w:rsid w:val="0024547F"/>
    <w:rsid w:val="00254A04"/>
    <w:rsid w:val="002642EA"/>
    <w:rsid w:val="00291DF9"/>
    <w:rsid w:val="002B5BB1"/>
    <w:rsid w:val="002C4CE7"/>
    <w:rsid w:val="002D4E6D"/>
    <w:rsid w:val="003306AA"/>
    <w:rsid w:val="003342D0"/>
    <w:rsid w:val="003532B5"/>
    <w:rsid w:val="00395D48"/>
    <w:rsid w:val="003B4061"/>
    <w:rsid w:val="003E472A"/>
    <w:rsid w:val="00402AC0"/>
    <w:rsid w:val="00411D81"/>
    <w:rsid w:val="004318D6"/>
    <w:rsid w:val="00431F2A"/>
    <w:rsid w:val="00461648"/>
    <w:rsid w:val="0048441C"/>
    <w:rsid w:val="004879E3"/>
    <w:rsid w:val="00494800"/>
    <w:rsid w:val="004E0876"/>
    <w:rsid w:val="004F4B47"/>
    <w:rsid w:val="00513D51"/>
    <w:rsid w:val="00544B00"/>
    <w:rsid w:val="00553A7C"/>
    <w:rsid w:val="00574131"/>
    <w:rsid w:val="005807B6"/>
    <w:rsid w:val="005848E2"/>
    <w:rsid w:val="005854FB"/>
    <w:rsid w:val="005A518F"/>
    <w:rsid w:val="005B55F3"/>
    <w:rsid w:val="005E0276"/>
    <w:rsid w:val="00601569"/>
    <w:rsid w:val="00607C37"/>
    <w:rsid w:val="00613C99"/>
    <w:rsid w:val="0061731E"/>
    <w:rsid w:val="00626463"/>
    <w:rsid w:val="0065559B"/>
    <w:rsid w:val="00677BEF"/>
    <w:rsid w:val="006C35CA"/>
    <w:rsid w:val="006E1CC9"/>
    <w:rsid w:val="006F4C3E"/>
    <w:rsid w:val="007035A8"/>
    <w:rsid w:val="00704B03"/>
    <w:rsid w:val="00733310"/>
    <w:rsid w:val="00737026"/>
    <w:rsid w:val="007612A8"/>
    <w:rsid w:val="007A28F3"/>
    <w:rsid w:val="007B34A2"/>
    <w:rsid w:val="007E3365"/>
    <w:rsid w:val="0083564E"/>
    <w:rsid w:val="00836DD3"/>
    <w:rsid w:val="00845CB6"/>
    <w:rsid w:val="00887FA0"/>
    <w:rsid w:val="008E158A"/>
    <w:rsid w:val="00953692"/>
    <w:rsid w:val="009F7D70"/>
    <w:rsid w:val="00A01B93"/>
    <w:rsid w:val="00A04137"/>
    <w:rsid w:val="00A26A5E"/>
    <w:rsid w:val="00A42177"/>
    <w:rsid w:val="00A514B2"/>
    <w:rsid w:val="00A732B0"/>
    <w:rsid w:val="00A87088"/>
    <w:rsid w:val="00A90DBB"/>
    <w:rsid w:val="00A93BB5"/>
    <w:rsid w:val="00A96C27"/>
    <w:rsid w:val="00AB3B90"/>
    <w:rsid w:val="00AC647B"/>
    <w:rsid w:val="00AD0AE8"/>
    <w:rsid w:val="00AD13E4"/>
    <w:rsid w:val="00AD3FCA"/>
    <w:rsid w:val="00AF4190"/>
    <w:rsid w:val="00B02B53"/>
    <w:rsid w:val="00B37022"/>
    <w:rsid w:val="00B563F7"/>
    <w:rsid w:val="00B60CF5"/>
    <w:rsid w:val="00B76E9B"/>
    <w:rsid w:val="00B85A21"/>
    <w:rsid w:val="00BA5066"/>
    <w:rsid w:val="00BE54FC"/>
    <w:rsid w:val="00C42E44"/>
    <w:rsid w:val="00C6054D"/>
    <w:rsid w:val="00C6545C"/>
    <w:rsid w:val="00C80FDC"/>
    <w:rsid w:val="00CB418F"/>
    <w:rsid w:val="00CD1FD2"/>
    <w:rsid w:val="00CF114A"/>
    <w:rsid w:val="00D019BA"/>
    <w:rsid w:val="00D101BC"/>
    <w:rsid w:val="00D30EF3"/>
    <w:rsid w:val="00D554F1"/>
    <w:rsid w:val="00D568B9"/>
    <w:rsid w:val="00D601E3"/>
    <w:rsid w:val="00D7198A"/>
    <w:rsid w:val="00DA2CE4"/>
    <w:rsid w:val="00DD13B4"/>
    <w:rsid w:val="00E56AC7"/>
    <w:rsid w:val="00EA1016"/>
    <w:rsid w:val="00EA57A0"/>
    <w:rsid w:val="00EB4E9E"/>
    <w:rsid w:val="00ED6B58"/>
    <w:rsid w:val="00F1280D"/>
    <w:rsid w:val="00F26D56"/>
    <w:rsid w:val="00F43B84"/>
    <w:rsid w:val="00F80753"/>
    <w:rsid w:val="00F82DB8"/>
    <w:rsid w:val="00FA41B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D34E"/>
  <w15:chartTrackingRefBased/>
  <w15:docId w15:val="{3E7378A1-8B33-45B1-B14B-CBF37857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555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555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65559B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6555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6555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65559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F41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4190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C6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8C41871BE4F2EAD3BF9FA2499A27984500BE0B1AA27D38CBFC3758A25E5A22E8A12610AFF70086B1806F6FE7z3l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FFBDE-F75D-4A6D-B5AB-3942823F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ARBMKK</cp:lastModifiedBy>
  <cp:revision>17</cp:revision>
  <cp:lastPrinted>2020-03-02T04:09:00Z</cp:lastPrinted>
  <dcterms:created xsi:type="dcterms:W3CDTF">2020-01-29T03:28:00Z</dcterms:created>
  <dcterms:modified xsi:type="dcterms:W3CDTF">2022-01-20T07:56:00Z</dcterms:modified>
</cp:coreProperties>
</file>