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bookmarkStart w:id="0" w:name="_GoBack"/>
      <w:bookmarkEnd w:id="0"/>
    </w:p>
    <w:p w:rsidR="0045218E" w:rsidRDefault="0045218E" w:rsidP="00A43DC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color w:val="000000"/>
          <w:sz w:val="28"/>
          <w:szCs w:val="28"/>
        </w:rPr>
        <w:t>Пояснительная записка к Прогнозу СЭР МО</w:t>
      </w: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 Общие сведения о муниципальном образовании</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Муниципальное образование Балахтинский район образовано в 1924 году и расположен к югу от г.Красноярска по обеим сторонам Красноярского водохранилища. </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соответствии с Законом Красноярского края от 18.02.2005 N 13-3005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 площадь территории муниципального образования составляет 10230,8 кв.км. Учитывая то, что в соответствии с методическими рекомендациями по формированию показателей прогноза социально-экономического развития, источником информации является форма № 22-2 «Отчет о наличии и распределении земель по категориям и угодьям», формируемая Росреестром, территория указана по следующим параметрам: площадь муниципального образования – 10250 кв. км., в том числе сельхозугодий – 2351,2 кв.км., земель лесного фонда – 6061 кв.км., водного фонда – 657 кв.км.</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По площади территория Балахтинского района занимает 12-е место в крае. Протяженность с запада на восток – 140 км, с севера на юг – 73 км.</w:t>
      </w:r>
    </w:p>
    <w:p w:rsidR="0045218E" w:rsidRDefault="0045218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Район граничит на западе с Ужурским и Назаровским районами, на севере – с Козульским и Емельяновским, на юге – с Идринским, Курагинским, Краснотуранским и Новоселовским районами, на северо-востоке – с Березовским районом и г.Дивногорском. </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Климатический пояс, в котором расположен Балахтинский район, резко континентальный. По данным метеорологической станции, среднегодовая температура воздуха оставляет (-)1 градус, в зимний период – (-)15,5 градусов, в летний период – (+)9 градусов. Продолжительность безморозного периода – 114 дней, осадки – апрель-май – 332 мм. Средняя толщина снежного покрова – 24 см.</w:t>
      </w:r>
    </w:p>
    <w:p w:rsidR="0045218E" w:rsidRDefault="0045218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Число населенных пунктов – 48. Населенные пункты объединены в 12 сельсоветов, 1 поссовет. </w:t>
      </w:r>
    </w:p>
    <w:p w:rsidR="0045218E" w:rsidRDefault="0045218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Самым крупным по количеству жителей является Балахтинский поссовет – 6,6 тыс. человек, из них в п.Балахта проживает 6,4 тыс. человек (36% всего населения района).</w:t>
      </w:r>
    </w:p>
    <w:p w:rsidR="0045218E" w:rsidRDefault="0045218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Крупных населенных пунктов с численностью жителей более 1000 человек – 3:  п.Приморск, с.Кожаны, п.Чистое Поле.</w:t>
      </w:r>
    </w:p>
    <w:p w:rsidR="0045218E" w:rsidRDefault="0045218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Населенных пунктов с численностью жителей менее 100 человек – 15: д.Перово, д.Смоленка, д.Куртюл, д.Тюлюпта, д.Березовая, д.Огоньки, д.Малые Сыры, д.Виленка,  д.Кизык-Чуль, д.Тукай, д.Кизылка, д.Балдаштык, д.Гладкий Мыс, с.Курбатово, д.Новотроицк.</w:t>
      </w:r>
    </w:p>
    <w:p w:rsidR="0045218E" w:rsidRDefault="0045218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удаленными от районного центра являются населенные пункты: д.Березовая – 96 км, д.Тюлюпта – 97 км, д.Куртюл  - 83 км, д.Смоленка – 73 км, д.Кизылка – 62 км,  д.Петропавловка – 59 км, с.Курбатово – 56,5 км,  д. Могучий – 56 км, д.Кизык-Чуль – 54 км, д.Холодный Ключ и д.Черемушки – 53 </w:t>
      </w:r>
      <w:r>
        <w:rPr>
          <w:rFonts w:ascii="Times New Roman CYR" w:hAnsi="Times New Roman CYR" w:cs="Times New Roman CYR"/>
          <w:sz w:val="28"/>
          <w:szCs w:val="28"/>
        </w:rPr>
        <w:lastRenderedPageBreak/>
        <w:t>км, п.Вольный 50 км. . Не имеют устойчивого транспортного сообщения с районным центром 13 населенных пунктов, автобусного сообщения не имеют 20 населенных пунктов.</w:t>
      </w:r>
    </w:p>
    <w:p w:rsidR="0045218E" w:rsidRDefault="0045218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Территория Черемушкинского сельсовета расположена на правом берегу Красноярского водохранилища. Связь с районным центром в летний период осуществляется водным транспортом, в зимний период – по ледовой переправе.</w:t>
      </w:r>
    </w:p>
    <w:p w:rsidR="0045218E" w:rsidRDefault="0045218E">
      <w:pPr>
        <w:widowControl w:val="0"/>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Связь с краевым центром осуществляется по автодороге федерального значения «Енисей». Ближайшая железнодорожная станция Ужур расположена на расстоянии 120 км от районного центра. Расстояние от п. Балахта до ближайшей пристани Приморск составляет 31 км. </w:t>
      </w:r>
      <w:r>
        <w:rPr>
          <w:rFonts w:ascii="Times New Roman CYR" w:hAnsi="Times New Roman CYR" w:cs="Times New Roman CYR"/>
          <w:color w:val="000000"/>
          <w:sz w:val="28"/>
          <w:szCs w:val="28"/>
        </w:rPr>
        <w:t>Территория района богата природными ресурсами. Запасы полезных ископаемых в Балахтинском районе составляют: рассыпное золото, уголь бурый. тонн, глина, пески строительные, цеолиты, флюорит, минеральные воды (Кожановское месторождение).</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Район расположен в пределах уникального Канско-Ачинского угольного бассейна. В настоящее время разведано Большесырское месторождение бурого угля с запасами угля более 200 млн. тонн. Уголь Большесырского месторождения по качеству является лучшим среди известных бурых углей.</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Уникальным для Балахтинского района является Кожановское месторождение минеральных питьевых лечебных и лечебно-столовых вод. Известное еще в 19 веке месторождение эксплуатируется санаторием «Красноярское Загорье», где лечат заболевания сердечно-сосудистой системы, желудочно-кишечного тракта, эндокринной системы, астенические неврозы. </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районе также имеются месторождения цеолитов, урана, глин и суглинков легкоплавких для производства кирпича, глин огнеупорных, песчано-гравийных материалов, камня строительного, поделочных камней, карбонатных пород для строительной извести.</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Район обладает значительными лесными ресурсами. Площадь лесов занимает более половины площади района. Среди лесных пород преобладают мягколиственные и темнохвойные породы.  Район имеет богатую лекарственную флору, которая является уникальной для производства лекарственных препаратов растительного происхождения. В районе богатые запасы дикоросов – грибов, ягод, папоротника, которые могут быть переработаны и реализованы  населению, а также поставлены на экспорт.  Все сырье является экологически чистым.</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Район обладает ресурсами для развития туризма. Территория  района  богата  историческими    местами,  историческими  памятниками,   связанными  с  именами  Г.В.  Юдина – предпринимателем, библиофилом;  И.В.  Кулаевым – уроженцем  д.  Атаманово, создателем  всемирно  известного  просветительского  благотворительного  фонда.     Балахтинский  район  связан  с  именем  заслуженного  художника  России  В. Мамичевым. Балахтинский район – родина  всемирно известного писателя А. Черкасова. </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  территории    Балахтинского  района  расположен   крупнейший    курорт  Восточной  Сибири -  санаторий  «Красноярское  Загорье» -  идеален  </w:t>
      </w:r>
      <w:r>
        <w:rPr>
          <w:rFonts w:ascii="Times New Roman CYR" w:hAnsi="Times New Roman CYR" w:cs="Times New Roman CYR"/>
          <w:color w:val="000000"/>
          <w:sz w:val="28"/>
          <w:szCs w:val="28"/>
        </w:rPr>
        <w:lastRenderedPageBreak/>
        <w:t xml:space="preserve">как  для  восстановления   здоровья, так  и  для  индивидуального  и  семейного   отдыха. </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правобережье   Красноярского водохранилища имеется база отдыха  (ПБОЮЛ  Брацук  С.А.)  на  25  человек.  Для  организации  отдыха  организованы:  конные  прогулки,  рыбалка,  прогулочно-экскурсионные  маршруты  по водохранилищу,  сауна. Кроме  этого,    есть  возможность  организации  летнего  и  зимнего  отдыха  на  берегах  Красноярского  водохранилища,  на   р. Сисим,  Погромная,  Смоленка,  Дербина,  Тубиль.  На  левобережье  водохранилища  организовано  и работает  муниципальное бюджетное учреждении «Парус» которое организовало круглогодичный отдых населения, в котором организованы  пешие  и  конные  летние  маршруты,  снегоходные   зимние  туристические  маршруты,  охота,  рыбалка,  сплавы. Также  возможна  организация  сплавных  маршрутов  по   таежным  рекам.   Река  Сисим  3-ей  категории  сложности,  протяженность  по  территории Балахтинского  района  80  км. Река Чулым,  равнинного  типа,  пригодна  для  сплава  на  всем  протяжении  по  территории  района.  Может  использоваться для  организации  детского  сплава.  Река  Дербина  протяженность  20-30 км.  от устья может  использоваться  также  для  сплавов  совместно  с  любительской  рыбной  ловлей. Живописные  места  по  побережью  Красноярского  водохранилища  и  привлекательные природные  ландшафты   заливов   дают  возможность  организации  водных  экскурсионных  маршрутов  с  заходом  в  заливы  на  малых  судах  и  лодках.  </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отраслями экономики района являются сельское хозяйство, топливная промышленность, пищевая промышленность, предоставление санаторно-курортных услуг, развитие рекреационной зоны на побережье Красноярского водохранилища.</w:t>
      </w:r>
    </w:p>
    <w:p w:rsidR="0045218E" w:rsidRDefault="0045218E">
      <w:pPr>
        <w:widowControl w:val="0"/>
        <w:autoSpaceDE w:val="0"/>
        <w:autoSpaceDN w:val="0"/>
        <w:adjustRightInd w:val="0"/>
        <w:spacing w:after="0" w:line="240" w:lineRule="auto"/>
        <w:rPr>
          <w:rFonts w:ascii="MS Sans Serif" w:hAnsi="MS Sans Serif" w:cs="MS Sans Serif"/>
          <w:sz w:val="16"/>
          <w:szCs w:val="16"/>
        </w:rPr>
      </w:pP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 Промышленность</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Промышленность в Балахтинском районе относится к числу отраслей, которые имеют экономический потенциал, согласно разрабатываемой стратегии развития района, благодаря богатым природным ресурсам, наличию предприятий угледобывающей промышленности и переработки сельскохозяйственной продукции.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0"/>
          <w:szCs w:val="20"/>
          <w:highlight w:val="white"/>
        </w:rPr>
        <w:t xml:space="preserve"> </w:t>
      </w:r>
      <w:r>
        <w:rPr>
          <w:rFonts w:ascii="Times New Roman CYR" w:hAnsi="Times New Roman CYR" w:cs="Times New Roman CYR"/>
          <w:sz w:val="28"/>
          <w:szCs w:val="28"/>
          <w:highlight w:val="white"/>
        </w:rPr>
        <w:t>Территория района богата природными ресурсами. Запасы полезных ископаемых в Балахтинском районе составляют: рассыпное золото – 0,6 тонны, уголь бурый – 2372,0, тыс. тонн, а также глина – 409 млн. кубометров, пески строительные – 171,0 млн.куб.м., цеолиты – 575 млн. тонн, природные облицовочные камни – более 2700,0 тыс.куб.м., флюорит – около 15 млн. тонн, торф – более 2000,0 тыс.тн.</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 xml:space="preserve">Доля промышленности в экономике района составляет ежегодно от 28% до 30%. Рейтинг территории также составляют инвестиционные вложения промышленных предприятий.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ab/>
        <w:t xml:space="preserve">Основные виды промышленной продукции на территории Балахтинского района представлены следующими видами экономической деятельности: добыча полезных ископаемых (уголь бурый, щебень и гравий), лесное хозяйство (в части заготовки древесины), обрабатывающие производства (хлеб и хлебобулочные изделия, мясо, колбасные изделия, цельномолочная продукция, мука), электроэнергия, газ и вода.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Территория района расположена в пределах уни</w:t>
      </w:r>
      <w:r>
        <w:rPr>
          <w:rFonts w:ascii="Times New Roman CYR" w:hAnsi="Times New Roman CYR" w:cs="Times New Roman CYR"/>
          <w:sz w:val="28"/>
          <w:szCs w:val="28"/>
          <w:highlight w:val="white"/>
        </w:rPr>
        <w:softHyphen/>
        <w:t>кального Канско-Ачинского угольного бассейна. Общие ресурсы района по бурому углю оцениваются по разным источникам от 1,5 до 2,5 млрд. тонн. В настоящее время детально разведано Большесырское месторождение бурого угля. Уголь Большесырского месторождения по качеству является лучшим среди известных бурых углей.</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Запасы угля Большесырского месторождения составляют 150 млн.тонн, в том числе: участок "Восточный", участок "Новый" предприятия ООО «Сибуголь» и участок "Северный" - ООО "Ситипроф".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Основными потребителями продукции, добываемой Большесырским разрезом ООО «Сибуголь» является население, бюджетные учреждения и коммунальные предприятия края. Производство современных автоматических котлов предполагает использование топлива класса 10-50 мм. Для удовлетворения потребностей в указанном топливе ООО «Сибуголь» были разработаны, запатентованы и введены в эксплуатацию две сортировки на участках «Новый» и «Восточный». Рассортированный уголь грузится в автотранспорт из-под конвейера, либо со склада погрузчиком.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Основными потребителями угля ООО «Сибуголь» в России являются: АО "РУСАЛ Ачинск", КРАСЭКО, КЭСКО, КГУП «Примтеплоэнерго» (г.Владивосток), АО «Амурские коммунальные системы», МУП «Райтопсбыт» (Шира), ООО «УСК Сибиряк», ООО «Ужурское ЖКХ», сельхозпредприятия Балахтинского, Ужурского, Емельяновского, Новоселовского районов, Республики Хакасия, Якутия,Тыва. Экспортные направления: Китай, Польша, Венгрия, Сербия.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По итогам работы за 2021 год получена прибыль на предприятии. Объем выручки от реализации за отчетный год составил 4,3 млрд. рублей (показатель увеличился на 69,4%).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p>
    <w:p w:rsidR="0045218E" w:rsidRDefault="0045218E">
      <w:pPr>
        <w:autoSpaceDE w:val="0"/>
        <w:autoSpaceDN w:val="0"/>
        <w:adjustRightInd w:val="0"/>
        <w:spacing w:after="0" w:line="240" w:lineRule="auto"/>
        <w:ind w:firstLine="708"/>
        <w:jc w:val="right"/>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Таблица 1. Объем производства угля по годам</w:t>
      </w:r>
    </w:p>
    <w:p w:rsidR="0045218E" w:rsidRDefault="0045218E">
      <w:pPr>
        <w:autoSpaceDE w:val="0"/>
        <w:autoSpaceDN w:val="0"/>
        <w:adjustRightInd w:val="0"/>
        <w:spacing w:after="0" w:line="240" w:lineRule="auto"/>
        <w:ind w:firstLine="708"/>
        <w:jc w:val="right"/>
        <w:rPr>
          <w:rFonts w:ascii="Times New Roman CYR" w:hAnsi="Times New Roman CYR" w:cs="Times New Roman CYR"/>
          <w:sz w:val="28"/>
          <w:szCs w:val="28"/>
          <w:highlight w:val="white"/>
        </w:rPr>
      </w:pPr>
    </w:p>
    <w:tbl>
      <w:tblPr>
        <w:tblW w:w="0" w:type="auto"/>
        <w:tblInd w:w="-34" w:type="dxa"/>
        <w:tblLayout w:type="fixed"/>
        <w:tblLook w:val="0000" w:firstRow="0" w:lastRow="0" w:firstColumn="0" w:lastColumn="0" w:noHBand="0" w:noVBand="0"/>
      </w:tblPr>
      <w:tblGrid>
        <w:gridCol w:w="1843"/>
        <w:gridCol w:w="1134"/>
        <w:gridCol w:w="1074"/>
        <w:gridCol w:w="1074"/>
        <w:gridCol w:w="1134"/>
        <w:gridCol w:w="1134"/>
        <w:gridCol w:w="1113"/>
        <w:gridCol w:w="1134"/>
      </w:tblGrid>
      <w:tr w:rsidR="0045218E">
        <w:tblPrEx>
          <w:tblCellMar>
            <w:top w:w="0" w:type="dxa"/>
            <w:bottom w:w="0" w:type="dxa"/>
          </w:tblCellMar>
        </w:tblPrEx>
        <w:trPr>
          <w:trHeight w:val="598"/>
        </w:trPr>
        <w:tc>
          <w:tcPr>
            <w:tcW w:w="1843" w:type="dxa"/>
            <w:tcBorders>
              <w:top w:val="single" w:sz="4" w:space="0" w:color="000000"/>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Наименование</w:t>
            </w:r>
          </w:p>
        </w:tc>
        <w:tc>
          <w:tcPr>
            <w:tcW w:w="1134" w:type="dxa"/>
            <w:tcBorders>
              <w:top w:val="single" w:sz="4" w:space="0" w:color="000000"/>
              <w:left w:val="nil"/>
              <w:bottom w:val="single" w:sz="4" w:space="0" w:color="000000"/>
              <w:right w:val="single" w:sz="4" w:space="0" w:color="auto"/>
            </w:tcBorders>
            <w:vAlign w:val="center"/>
          </w:tcPr>
          <w:p w:rsidR="0045218E" w:rsidRDefault="0045218E">
            <w:pPr>
              <w:autoSpaceDE w:val="0"/>
              <w:autoSpaceDN w:val="0"/>
              <w:adjustRightInd w:val="0"/>
              <w:spacing w:after="0" w:line="240" w:lineRule="auto"/>
              <w:jc w:val="both"/>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Единицы измерения</w:t>
            </w:r>
          </w:p>
        </w:tc>
        <w:tc>
          <w:tcPr>
            <w:tcW w:w="107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2020 г.</w:t>
            </w:r>
          </w:p>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отчет</w:t>
            </w:r>
          </w:p>
        </w:tc>
        <w:tc>
          <w:tcPr>
            <w:tcW w:w="107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2021 г.</w:t>
            </w:r>
          </w:p>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отчет</w:t>
            </w:r>
          </w:p>
        </w:tc>
        <w:tc>
          <w:tcPr>
            <w:tcW w:w="113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2022 г. оценка</w:t>
            </w:r>
          </w:p>
        </w:tc>
        <w:tc>
          <w:tcPr>
            <w:tcW w:w="113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 xml:space="preserve">2023 г. прогноз </w:t>
            </w:r>
          </w:p>
        </w:tc>
        <w:tc>
          <w:tcPr>
            <w:tcW w:w="1113"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2024 г. прогноз</w:t>
            </w:r>
          </w:p>
        </w:tc>
        <w:tc>
          <w:tcPr>
            <w:tcW w:w="113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2025 г. прогноз</w:t>
            </w:r>
          </w:p>
        </w:tc>
      </w:tr>
      <w:tr w:rsidR="0045218E">
        <w:tblPrEx>
          <w:tblCellMar>
            <w:top w:w="0" w:type="dxa"/>
            <w:bottom w:w="0" w:type="dxa"/>
          </w:tblCellMar>
        </w:tblPrEx>
        <w:trPr>
          <w:trHeight w:val="427"/>
        </w:trPr>
        <w:tc>
          <w:tcPr>
            <w:tcW w:w="1843"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CA - Добыча топливно-энергетических полезных ископаемых</w:t>
            </w:r>
          </w:p>
        </w:tc>
        <w:tc>
          <w:tcPr>
            <w:tcW w:w="1134" w:type="dxa"/>
            <w:tcBorders>
              <w:top w:val="nil"/>
              <w:left w:val="nil"/>
              <w:bottom w:val="single" w:sz="4" w:space="0" w:color="000000"/>
              <w:right w:val="single" w:sz="4" w:space="0" w:color="auto"/>
            </w:tcBorders>
            <w:vAlign w:val="center"/>
          </w:tcPr>
          <w:p w:rsidR="0045218E" w:rsidRDefault="0045218E">
            <w:pPr>
              <w:autoSpaceDE w:val="0"/>
              <w:autoSpaceDN w:val="0"/>
              <w:adjustRightInd w:val="0"/>
              <w:spacing w:after="0" w:line="240" w:lineRule="auto"/>
              <w:jc w:val="both"/>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 </w:t>
            </w:r>
          </w:p>
        </w:tc>
        <w:tc>
          <w:tcPr>
            <w:tcW w:w="107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both"/>
              <w:rPr>
                <w:rFonts w:ascii="Times New Roman CYR" w:hAnsi="Times New Roman CYR" w:cs="Times New Roman CYR"/>
                <w:color w:val="000000"/>
                <w:sz w:val="20"/>
                <w:szCs w:val="20"/>
                <w:highlight w:val="white"/>
              </w:rPr>
            </w:pPr>
          </w:p>
        </w:tc>
        <w:tc>
          <w:tcPr>
            <w:tcW w:w="107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both"/>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 </w:t>
            </w:r>
          </w:p>
        </w:tc>
        <w:tc>
          <w:tcPr>
            <w:tcW w:w="113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both"/>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 </w:t>
            </w:r>
          </w:p>
        </w:tc>
        <w:tc>
          <w:tcPr>
            <w:tcW w:w="113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both"/>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 </w:t>
            </w:r>
          </w:p>
        </w:tc>
        <w:tc>
          <w:tcPr>
            <w:tcW w:w="1113"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both"/>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 </w:t>
            </w:r>
          </w:p>
        </w:tc>
        <w:tc>
          <w:tcPr>
            <w:tcW w:w="113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both"/>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 </w:t>
            </w:r>
          </w:p>
        </w:tc>
      </w:tr>
      <w:tr w:rsidR="0045218E">
        <w:tblPrEx>
          <w:tblCellMar>
            <w:top w:w="0" w:type="dxa"/>
            <w:bottom w:w="0" w:type="dxa"/>
          </w:tblCellMar>
        </w:tblPrEx>
        <w:trPr>
          <w:trHeight w:val="285"/>
        </w:trPr>
        <w:tc>
          <w:tcPr>
            <w:tcW w:w="1843"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03 2035 - Уголь бурый</w:t>
            </w:r>
          </w:p>
        </w:tc>
        <w:tc>
          <w:tcPr>
            <w:tcW w:w="1134" w:type="dxa"/>
            <w:tcBorders>
              <w:top w:val="nil"/>
              <w:left w:val="nil"/>
              <w:bottom w:val="single" w:sz="4" w:space="0" w:color="000000"/>
              <w:right w:val="single" w:sz="4" w:space="0" w:color="auto"/>
            </w:tcBorders>
            <w:vAlign w:val="center"/>
          </w:tcPr>
          <w:p w:rsidR="0045218E" w:rsidRDefault="0045218E">
            <w:pPr>
              <w:autoSpaceDE w:val="0"/>
              <w:autoSpaceDN w:val="0"/>
              <w:adjustRightInd w:val="0"/>
              <w:spacing w:after="0" w:line="240" w:lineRule="auto"/>
              <w:jc w:val="both"/>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тыс. тонн</w:t>
            </w:r>
          </w:p>
        </w:tc>
        <w:tc>
          <w:tcPr>
            <w:tcW w:w="107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2 412,0</w:t>
            </w:r>
          </w:p>
        </w:tc>
        <w:tc>
          <w:tcPr>
            <w:tcW w:w="107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2 700,0</w:t>
            </w:r>
          </w:p>
        </w:tc>
        <w:tc>
          <w:tcPr>
            <w:tcW w:w="113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2 750,0</w:t>
            </w:r>
          </w:p>
        </w:tc>
        <w:tc>
          <w:tcPr>
            <w:tcW w:w="113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2 800,0</w:t>
            </w:r>
          </w:p>
        </w:tc>
        <w:tc>
          <w:tcPr>
            <w:tcW w:w="1113"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2 850,0</w:t>
            </w:r>
          </w:p>
        </w:tc>
        <w:tc>
          <w:tcPr>
            <w:tcW w:w="113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2 870,0</w:t>
            </w:r>
          </w:p>
        </w:tc>
      </w:tr>
      <w:tr w:rsidR="0045218E">
        <w:tblPrEx>
          <w:tblCellMar>
            <w:top w:w="0" w:type="dxa"/>
            <w:bottom w:w="0" w:type="dxa"/>
          </w:tblCellMar>
        </w:tblPrEx>
        <w:trPr>
          <w:trHeight w:val="285"/>
        </w:trPr>
        <w:tc>
          <w:tcPr>
            <w:tcW w:w="1843"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Балахтинский филиал ООО "Сибуголь"</w:t>
            </w:r>
          </w:p>
          <w:p w:rsidR="0045218E" w:rsidRDefault="0045218E">
            <w:pPr>
              <w:autoSpaceDE w:val="0"/>
              <w:autoSpaceDN w:val="0"/>
              <w:adjustRightInd w:val="0"/>
              <w:spacing w:after="0" w:line="240" w:lineRule="auto"/>
              <w:rPr>
                <w:rFonts w:ascii="Times New Roman CYR" w:hAnsi="Times New Roman CYR" w:cs="Times New Roman CYR"/>
                <w:color w:val="000000"/>
                <w:sz w:val="20"/>
                <w:szCs w:val="20"/>
                <w:highlight w:val="white"/>
              </w:rPr>
            </w:pPr>
          </w:p>
        </w:tc>
        <w:tc>
          <w:tcPr>
            <w:tcW w:w="1134" w:type="dxa"/>
            <w:tcBorders>
              <w:top w:val="nil"/>
              <w:left w:val="nil"/>
              <w:bottom w:val="single" w:sz="4" w:space="0" w:color="000000"/>
              <w:right w:val="single" w:sz="4" w:space="0" w:color="auto"/>
            </w:tcBorders>
            <w:vAlign w:val="center"/>
          </w:tcPr>
          <w:p w:rsidR="0045218E" w:rsidRDefault="0045218E">
            <w:pPr>
              <w:autoSpaceDE w:val="0"/>
              <w:autoSpaceDN w:val="0"/>
              <w:adjustRightInd w:val="0"/>
              <w:spacing w:after="0" w:line="240" w:lineRule="auto"/>
              <w:jc w:val="both"/>
              <w:rPr>
                <w:rFonts w:ascii="Times New Roman CYR" w:hAnsi="Times New Roman CYR" w:cs="Times New Roman CYR"/>
                <w:color w:val="000000"/>
                <w:sz w:val="20"/>
                <w:szCs w:val="20"/>
                <w:highlight w:val="white"/>
              </w:rPr>
            </w:pPr>
            <w:r>
              <w:rPr>
                <w:rFonts w:ascii="Times New Roman CYR" w:hAnsi="Times New Roman CYR" w:cs="Times New Roman CYR"/>
                <w:color w:val="000000"/>
                <w:sz w:val="20"/>
                <w:szCs w:val="20"/>
                <w:highlight w:val="white"/>
              </w:rPr>
              <w:t>тыс. тонн</w:t>
            </w:r>
          </w:p>
        </w:tc>
        <w:tc>
          <w:tcPr>
            <w:tcW w:w="107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2 412,0</w:t>
            </w:r>
          </w:p>
        </w:tc>
        <w:tc>
          <w:tcPr>
            <w:tcW w:w="107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2 700,0</w:t>
            </w:r>
          </w:p>
        </w:tc>
        <w:tc>
          <w:tcPr>
            <w:tcW w:w="113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2 750,0</w:t>
            </w:r>
          </w:p>
        </w:tc>
        <w:tc>
          <w:tcPr>
            <w:tcW w:w="113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2 800,0</w:t>
            </w:r>
          </w:p>
        </w:tc>
        <w:tc>
          <w:tcPr>
            <w:tcW w:w="1113"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2 850,0</w:t>
            </w:r>
          </w:p>
        </w:tc>
        <w:tc>
          <w:tcPr>
            <w:tcW w:w="1134"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2 870,0</w:t>
            </w:r>
          </w:p>
        </w:tc>
      </w:tr>
    </w:tbl>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Кроме того, балансом не учтены Кызыкчульское и Ровненское месторожде</w:t>
      </w:r>
      <w:r>
        <w:rPr>
          <w:rFonts w:ascii="Times New Roman CYR" w:hAnsi="Times New Roman CYR" w:cs="Times New Roman CYR"/>
          <w:sz w:val="28"/>
          <w:szCs w:val="28"/>
          <w:highlight w:val="white"/>
        </w:rPr>
        <w:softHyphen/>
        <w:t xml:space="preserve">ния бурого угля с прогнозными ресурсами категории Р1- 379 млн.т и Р2 - 604 млн.т. На территории района известно Пашенское проявление бурого угля с прогнозными ресурсами категории Р2 - 298 млн.т. </w:t>
      </w:r>
    </w:p>
    <w:p w:rsidR="0045218E" w:rsidRDefault="0045218E">
      <w:pPr>
        <w:widowControl w:val="0"/>
        <w:autoSpaceDE w:val="0"/>
        <w:autoSpaceDN w:val="0"/>
        <w:adjustRightInd w:val="0"/>
        <w:spacing w:after="0" w:line="240" w:lineRule="auto"/>
        <w:ind w:firstLine="90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районе имеются месторождения цеолитов, урана, глин и суглинков легкоплавких для производства кирпича, глин огнеупорных, песчано-гравийных материалов, камня строительного, поделочных камней, карбонатных пород для строительной извести.</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Изучение и оценка перспективных участков месторождений на территории района, обнаруженных при проведении геохимических поисков, позволяет предполагать добычу рудного золота и флюоритов.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результате проведенных работ были определены наиболее перспективные участки для дальнейшего развития горнодобывающей промышленности:</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 месторождение р. Налимья (геологическое изучение и добыча россыпного золота, ООО «Саяны») – в настоящее время заканчивается разработка предоставленного лицензией участка недр. Финансирование работ – за счет инвестора ООО «Саяны»;</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 Бюзинская площадь - геологическое изучение и добыча россыпного золота на (ООО «Бюза»).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 Нижнеберезовская флюоритоносная площадь (добыча плавиковошпатовой руды ООО «Минерал»). Финансирование работ – за счет инвестора ООО «Минерал».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Разработка вышеуказанных месторождений позволит в дальнейшем развивать горнодобывающую промышленность, которая может стать альтернативным направлением развития района.</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white"/>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 в 2021 году составил 1 874,8 млн.руб. Темп роста, соответственно по разделу В – 134,95%. По предварительным данным предприятий угледобывающей отрасли в 2022 году запланирован рост показателя на 10%, на плановый период 2023 – 2024 гг. увеличение планируется в среднем на 3,9%.</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Индекс производства по разделу В, в частности по добыче угля, в 2021 году к соответствующему периоду 2020 года составил 110%.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white"/>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К числу месторождений Балахтинского района относится также уникальный источник минеральных питьевых лечебных и лечебно-столовых вод, который эксплуатируется санаторием «Красноярское Загорье». Крупнейший курорт Восточной Сибири - готовая комфортная база для размещения туристов, является объектом туристического притяжения. Идеален как для восстановления здоровья, так и для индивидуального и семейного отдыха. Месторождение минеральной воды позволяет лечить заболевания сердечно-сосудистой системы, желудочно-кишечного тракта, эндокринной системы, астенические неврозы.</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Территория района покрыта лесами на площади 674317 га, из них 578447 га составляют леса бывшего гослесфонда и 95849 га леса, ранее находившиеся во владении сельскохозяйственных организаций.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Наличие расчетной лесосеки в объеме 1,1 млн. куб. метров, в т.ч. по хвойному хозяйству около 300 тыс. куб. метров указывает на немалый лесосырьевой потенциал района. Деятельность осуществляют Балахтинское и Даурское лесничества.</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части предоставления услуг в области лесного хозяйства район представлен индивидуальными предпринимателями Спириной Е.Д., Аксеновым С.А., Антоновой А.А., Белясовой Т.И. и др. Основная же масса мелких лесозаготовительных предприятий района, занимающихся лесозаготовками на левобережье, имеют возможность заготовки древесины только по договорам подряда с арендаторами либо в качестве привлеченных третьих лиц.</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 в 2021 году составил 16,4 млн.руб. Снижение показателя связано с тем, что в 2020 году были включены объемы предприятия ООО «Талгат», которое в 2021 году прекратило свою деятельность на территории Балахтинского района.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ab/>
        <w:t>Обрабатывающие производства представлены следующими предприятиями: ЗАО «Приморье» перерабатывает продукты растениеводства (хлеб и хлебобулочные изделия), ЗАО «Сибирь» - предприятие имеет самое крупное поголовье крупного рогатого скота в районе и модульный молочный завод в п.Балахта, перерабатывающий молоко в молочную продукцию (сливки, сметана, масло, творог, сыр), ОАО «Красное» перерабатывает продукцию своей основной деятельности – растениеводство, а также производит хлебобулочные изделия, молоко и мясо, ООО СХП «Балахтинский торговый дом», занимающееся выпечкой хлеба и хлебобулочных изделий, а также производством муки, ООО «Чулымское» - молоко и мясо,  ИП Шнайдер В.А. производит хлеб и хлебобулочные изделия в п.Чистые Пруды Еловского сельсовета, ООО «Малтат» перерабатывает рыбу, ИП Спирина Е.Д. – выпечка хлеба, ИП Передельский В.З - закуп и переработка мяса (в том числе колбасные изделия), а также производство полуфабрикатов.</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white"/>
        </w:rPr>
      </w:pP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ab/>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 в 2021 году составил 497,9 млн.руб., что выше уровня 2020 года на 16,8%.</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ab/>
        <w:t xml:space="preserve">Индекс производства, к соответствующему периоду предыдущего года составил 98,7%.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white"/>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 в 2020 году составил 112,1 млн.руб. Темп роста относительно прошлого отчетного периода составил 130,12%.</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 в отчетном году – 9,54 млн.руб., что выше уровня 2020 года на 31,7%. При этом индекс производства по разделу составил 97,4%.   </w:t>
      </w:r>
    </w:p>
    <w:p w:rsidR="0045218E" w:rsidRDefault="0045218E">
      <w:pPr>
        <w:widowControl w:val="0"/>
        <w:autoSpaceDE w:val="0"/>
        <w:autoSpaceDN w:val="0"/>
        <w:adjustRightInd w:val="0"/>
        <w:spacing w:after="0" w:line="240" w:lineRule="auto"/>
        <w:rPr>
          <w:rFonts w:ascii="MS Sans Serif" w:hAnsi="MS Sans Serif" w:cs="MS Sans Serif"/>
          <w:sz w:val="16"/>
          <w:szCs w:val="16"/>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 Сельское хозяйство</w:t>
      </w: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3.1. Растениеводство</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0" w:line="276" w:lineRule="auto"/>
        <w:jc w:val="both"/>
        <w:rPr>
          <w:rFonts w:ascii="Times New Roman CYR" w:hAnsi="Times New Roman CYR" w:cs="Times New Roman CYR"/>
          <w:sz w:val="28"/>
          <w:szCs w:val="28"/>
        </w:rPr>
      </w:pPr>
      <w:r>
        <w:rPr>
          <w:rFonts w:ascii="Times New Roman CYR" w:hAnsi="Times New Roman CYR" w:cs="Times New Roman CYR"/>
          <w:sz w:val="24"/>
          <w:szCs w:val="24"/>
        </w:rPr>
        <w:t xml:space="preserve">    </w:t>
      </w:r>
      <w:r>
        <w:rPr>
          <w:rFonts w:ascii="Times New Roman CYR" w:hAnsi="Times New Roman CYR" w:cs="Times New Roman CYR"/>
          <w:sz w:val="28"/>
          <w:szCs w:val="28"/>
        </w:rPr>
        <w:t xml:space="preserve">Фактором, определяющим динамику выпуска продукции в растениеводстве, станет наращивание производства зерновых культур.      </w:t>
      </w:r>
    </w:p>
    <w:p w:rsidR="0045218E" w:rsidRDefault="0045218E">
      <w:pPr>
        <w:autoSpaceDE w:val="0"/>
        <w:autoSpaceDN w:val="0"/>
        <w:adjustRightInd w:val="0"/>
        <w:spacing w:after="0" w:line="240" w:lineRule="auto"/>
        <w:ind w:firstLine="426"/>
        <w:jc w:val="both"/>
        <w:rPr>
          <w:rFonts w:ascii="Times New Roman CYR" w:hAnsi="Times New Roman CYR" w:cs="Times New Roman CYR"/>
          <w:i/>
          <w:iCs/>
          <w:sz w:val="28"/>
          <w:szCs w:val="28"/>
        </w:rPr>
      </w:pPr>
      <w:r>
        <w:rPr>
          <w:rFonts w:ascii="Times New Roman CYR" w:hAnsi="Times New Roman CYR" w:cs="Times New Roman CYR"/>
          <w:sz w:val="28"/>
          <w:szCs w:val="28"/>
        </w:rPr>
        <w:t>По результатам производственно-финансовой деятельности двадцати двух сельскохозяйственных организаций выручка от реализации сельскохозяйственной продукции, работ и услуг за 202</w:t>
      </w:r>
      <w:r w:rsidRPr="00A43DC4">
        <w:rPr>
          <w:rFonts w:ascii="Times New Roman" w:hAnsi="Times New Roman"/>
          <w:sz w:val="28"/>
          <w:szCs w:val="28"/>
        </w:rPr>
        <w:t>1</w:t>
      </w:r>
      <w:r>
        <w:rPr>
          <w:rFonts w:ascii="Times New Roman CYR" w:hAnsi="Times New Roman CYR" w:cs="Times New Roman CYR"/>
          <w:sz w:val="28"/>
          <w:szCs w:val="28"/>
        </w:rPr>
        <w:t xml:space="preserve"> год составила 4029,8млн.рублей.</w:t>
      </w:r>
    </w:p>
    <w:p w:rsidR="0045218E" w:rsidRDefault="0045218E">
      <w:pPr>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валового сбора продукции растениеводства будет достигнуто за счет повышения плодородия почвы и продуктивности сельскохозяйственных культур за счет применения минеральных удобрений, химических средств защиты растений, создания и внедрения в производство высокоурожайных , устойчивых к болезням и вредителям сельскохозяйственных культур.</w:t>
      </w:r>
    </w:p>
    <w:p w:rsidR="0045218E" w:rsidRDefault="0045218E">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Общий объем произведенных товаров, выполненных работ и услуг собственными силами по всем хозяйствам района (растениеводство) 202</w:t>
      </w:r>
      <w:r w:rsidRPr="00A43DC4">
        <w:rPr>
          <w:rFonts w:ascii="Times New Roman" w:hAnsi="Times New Roman"/>
          <w:sz w:val="28"/>
          <w:szCs w:val="28"/>
        </w:rPr>
        <w:t>1</w:t>
      </w:r>
      <w:r>
        <w:rPr>
          <w:rFonts w:ascii="Times New Roman CYR" w:hAnsi="Times New Roman CYR" w:cs="Times New Roman CYR"/>
          <w:sz w:val="28"/>
          <w:szCs w:val="28"/>
        </w:rPr>
        <w:t>году составил  4526,0млн. руб., в 202</w:t>
      </w:r>
      <w:r w:rsidRPr="00A43DC4">
        <w:rPr>
          <w:rFonts w:ascii="Times New Roman" w:hAnsi="Times New Roman"/>
          <w:sz w:val="28"/>
          <w:szCs w:val="28"/>
        </w:rPr>
        <w:t>2</w:t>
      </w:r>
      <w:r>
        <w:rPr>
          <w:rFonts w:ascii="Times New Roman CYR" w:hAnsi="Times New Roman CYR" w:cs="Times New Roman CYR"/>
          <w:sz w:val="28"/>
          <w:szCs w:val="28"/>
        </w:rPr>
        <w:t xml:space="preserve"> году планируется 5280,4млн. руб., в 2023 году 3209,2 млн. руб., в 202</w:t>
      </w:r>
      <w:r w:rsidRPr="00A43DC4">
        <w:rPr>
          <w:rFonts w:ascii="Times New Roman" w:hAnsi="Times New Roman"/>
          <w:sz w:val="28"/>
          <w:szCs w:val="28"/>
        </w:rPr>
        <w:t>4</w:t>
      </w:r>
      <w:r>
        <w:rPr>
          <w:rFonts w:ascii="Times New Roman CYR" w:hAnsi="Times New Roman CYR" w:cs="Times New Roman CYR"/>
          <w:sz w:val="28"/>
          <w:szCs w:val="28"/>
        </w:rPr>
        <w:t>- 3351,8 млн. руб., в 202</w:t>
      </w:r>
      <w:r w:rsidRPr="00A43DC4">
        <w:rPr>
          <w:rFonts w:ascii="Times New Roman" w:hAnsi="Times New Roman"/>
          <w:sz w:val="28"/>
          <w:szCs w:val="28"/>
        </w:rPr>
        <w:t>5</w:t>
      </w:r>
      <w:r>
        <w:rPr>
          <w:rFonts w:ascii="Times New Roman CYR" w:hAnsi="Times New Roman CYR" w:cs="Times New Roman CYR"/>
          <w:sz w:val="28"/>
          <w:szCs w:val="28"/>
        </w:rPr>
        <w:t xml:space="preserve"> – 3509,4 млн. руб. </w:t>
      </w:r>
    </w:p>
    <w:p w:rsidR="0045218E" w:rsidRDefault="0045218E">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Индекс производства сельскохозяйственными предприятиями  составляет: к уровню 202</w:t>
      </w:r>
      <w:r w:rsidRPr="00A43DC4">
        <w:rPr>
          <w:rFonts w:ascii="Times New Roman" w:hAnsi="Times New Roman"/>
          <w:sz w:val="28"/>
          <w:szCs w:val="28"/>
        </w:rPr>
        <w:t>1</w:t>
      </w:r>
      <w:r>
        <w:rPr>
          <w:rFonts w:ascii="Times New Roman CYR" w:hAnsi="Times New Roman CYR" w:cs="Times New Roman CYR"/>
          <w:sz w:val="28"/>
          <w:szCs w:val="28"/>
        </w:rPr>
        <w:t xml:space="preserve"> года 94,7% к уровню 202</w:t>
      </w:r>
      <w:r w:rsidRPr="00A43DC4">
        <w:rPr>
          <w:rFonts w:ascii="Times New Roman" w:hAnsi="Times New Roman"/>
          <w:sz w:val="28"/>
          <w:szCs w:val="28"/>
        </w:rPr>
        <w:t>2</w:t>
      </w:r>
      <w:r>
        <w:rPr>
          <w:rFonts w:ascii="Times New Roman CYR" w:hAnsi="Times New Roman CYR" w:cs="Times New Roman CYR"/>
          <w:sz w:val="28"/>
          <w:szCs w:val="28"/>
        </w:rPr>
        <w:t xml:space="preserve"> года – 100,1 %, к уровню 202</w:t>
      </w:r>
      <w:r w:rsidRPr="00A43DC4">
        <w:rPr>
          <w:rFonts w:ascii="Times New Roman" w:hAnsi="Times New Roman"/>
          <w:sz w:val="28"/>
          <w:szCs w:val="28"/>
        </w:rPr>
        <w:t>3</w:t>
      </w:r>
      <w:r>
        <w:rPr>
          <w:rFonts w:ascii="Times New Roman CYR" w:hAnsi="Times New Roman CYR" w:cs="Times New Roman CYR"/>
          <w:sz w:val="28"/>
          <w:szCs w:val="28"/>
        </w:rPr>
        <w:t xml:space="preserve"> года планируется  100,2%,  к уровню в 202</w:t>
      </w:r>
      <w:r w:rsidRPr="00A43DC4">
        <w:rPr>
          <w:rFonts w:ascii="Times New Roman" w:hAnsi="Times New Roman"/>
          <w:sz w:val="28"/>
          <w:szCs w:val="28"/>
        </w:rPr>
        <w:t>4</w:t>
      </w:r>
      <w:r>
        <w:rPr>
          <w:rFonts w:ascii="Times New Roman CYR" w:hAnsi="Times New Roman CYR" w:cs="Times New Roman CYR"/>
          <w:sz w:val="28"/>
          <w:szCs w:val="28"/>
        </w:rPr>
        <w:t xml:space="preserve"> года 100,2  %, к уровню 202</w:t>
      </w:r>
      <w:r w:rsidRPr="00A43DC4">
        <w:rPr>
          <w:rFonts w:ascii="Times New Roman" w:hAnsi="Times New Roman"/>
          <w:sz w:val="28"/>
          <w:szCs w:val="28"/>
        </w:rPr>
        <w:t>5</w:t>
      </w:r>
      <w:r>
        <w:rPr>
          <w:rFonts w:ascii="Times New Roman CYR" w:hAnsi="Times New Roman CYR" w:cs="Times New Roman CYR"/>
          <w:sz w:val="28"/>
          <w:szCs w:val="28"/>
        </w:rPr>
        <w:t xml:space="preserve"> года -100,3 %. </w:t>
      </w:r>
    </w:p>
    <w:p w:rsidR="0045218E" w:rsidRDefault="0045218E">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Динамика натуральных показателей сельскохозяйственного производства представлена в таблице 2.</w:t>
      </w:r>
    </w:p>
    <w:p w:rsidR="0045218E" w:rsidRDefault="0045218E">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Таблица 2.Показатели сельскохозяйственного производства</w:t>
      </w:r>
    </w:p>
    <w:p w:rsidR="0045218E" w:rsidRDefault="0045218E">
      <w:pPr>
        <w:autoSpaceDE w:val="0"/>
        <w:autoSpaceDN w:val="0"/>
        <w:adjustRightInd w:val="0"/>
        <w:spacing w:after="0" w:line="240" w:lineRule="auto"/>
        <w:jc w:val="right"/>
        <w:rPr>
          <w:rFonts w:ascii="Times New Roman CYR" w:hAnsi="Times New Roman CYR" w:cs="Times New Roman CYR"/>
          <w:sz w:val="28"/>
          <w:szCs w:val="28"/>
        </w:rPr>
      </w:pPr>
    </w:p>
    <w:tbl>
      <w:tblPr>
        <w:tblW w:w="0" w:type="auto"/>
        <w:jc w:val="center"/>
        <w:tblLayout w:type="fixed"/>
        <w:tblLook w:val="0000" w:firstRow="0" w:lastRow="0" w:firstColumn="0" w:lastColumn="0" w:noHBand="0" w:noVBand="0"/>
      </w:tblPr>
      <w:tblGrid>
        <w:gridCol w:w="2158"/>
        <w:gridCol w:w="1006"/>
        <w:gridCol w:w="1089"/>
        <w:gridCol w:w="1022"/>
        <w:gridCol w:w="1119"/>
        <w:gridCol w:w="1253"/>
        <w:gridCol w:w="1261"/>
        <w:gridCol w:w="1414"/>
      </w:tblGrid>
      <w:tr w:rsidR="0045218E">
        <w:tblPrEx>
          <w:tblCellMar>
            <w:top w:w="0" w:type="dxa"/>
            <w:bottom w:w="0" w:type="dxa"/>
          </w:tblCellMar>
        </w:tblPrEx>
        <w:trPr>
          <w:trHeight w:val="784"/>
          <w:jc w:val="center"/>
        </w:trPr>
        <w:tc>
          <w:tcPr>
            <w:tcW w:w="2158" w:type="dxa"/>
            <w:tcBorders>
              <w:top w:val="single" w:sz="4" w:space="0" w:color="000000"/>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Наименование показателя</w:t>
            </w:r>
          </w:p>
        </w:tc>
        <w:tc>
          <w:tcPr>
            <w:tcW w:w="1006" w:type="dxa"/>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left="-137" w:right="-10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Единицы измерения</w:t>
            </w:r>
          </w:p>
        </w:tc>
        <w:tc>
          <w:tcPr>
            <w:tcW w:w="1089" w:type="dxa"/>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right="-63"/>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r>
              <w:rPr>
                <w:rFonts w:ascii="Times New Roman" w:hAnsi="Times New Roman"/>
                <w:color w:val="000000"/>
                <w:sz w:val="20"/>
                <w:szCs w:val="20"/>
                <w:lang w:val="en-US"/>
              </w:rPr>
              <w:t>20</w:t>
            </w:r>
            <w:r>
              <w:rPr>
                <w:rFonts w:ascii="Times New Roman CYR" w:hAnsi="Times New Roman CYR" w:cs="Times New Roman CYR"/>
                <w:color w:val="000000"/>
                <w:sz w:val="20"/>
                <w:szCs w:val="20"/>
              </w:rPr>
              <w:t xml:space="preserve"> Отчет</w:t>
            </w:r>
          </w:p>
        </w:tc>
        <w:tc>
          <w:tcPr>
            <w:tcW w:w="1022" w:type="dxa"/>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right="-79"/>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w:t>
            </w:r>
            <w:r>
              <w:rPr>
                <w:rFonts w:ascii="Times New Roman" w:hAnsi="Times New Roman"/>
                <w:color w:val="000000"/>
                <w:sz w:val="20"/>
                <w:szCs w:val="20"/>
                <w:lang w:val="en-US"/>
              </w:rPr>
              <w:t>1</w:t>
            </w:r>
            <w:r>
              <w:rPr>
                <w:rFonts w:ascii="Times New Roman CYR" w:hAnsi="Times New Roman CYR" w:cs="Times New Roman CYR"/>
                <w:color w:val="000000"/>
                <w:sz w:val="20"/>
                <w:szCs w:val="20"/>
              </w:rPr>
              <w:t xml:space="preserve"> Отчет</w:t>
            </w:r>
          </w:p>
        </w:tc>
        <w:tc>
          <w:tcPr>
            <w:tcW w:w="1119" w:type="dxa"/>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w:t>
            </w:r>
            <w:r>
              <w:rPr>
                <w:rFonts w:ascii="Times New Roman" w:hAnsi="Times New Roman"/>
                <w:color w:val="000000"/>
                <w:sz w:val="20"/>
                <w:szCs w:val="20"/>
                <w:lang w:val="en-US"/>
              </w:rPr>
              <w:t>2</w:t>
            </w:r>
            <w:r>
              <w:rPr>
                <w:rFonts w:ascii="Times New Roman CYR" w:hAnsi="Times New Roman CYR" w:cs="Times New Roman CYR"/>
                <w:color w:val="000000"/>
                <w:sz w:val="20"/>
                <w:szCs w:val="20"/>
              </w:rPr>
              <w:t xml:space="preserve"> Оценка</w:t>
            </w:r>
          </w:p>
        </w:tc>
        <w:tc>
          <w:tcPr>
            <w:tcW w:w="1253" w:type="dxa"/>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w:t>
            </w:r>
            <w:r>
              <w:rPr>
                <w:rFonts w:ascii="Times New Roman" w:hAnsi="Times New Roman"/>
                <w:color w:val="000000"/>
                <w:sz w:val="20"/>
                <w:szCs w:val="20"/>
                <w:lang w:val="en-US"/>
              </w:rPr>
              <w:t>3</w:t>
            </w:r>
            <w:r>
              <w:rPr>
                <w:rFonts w:ascii="Times New Roman CYR" w:hAnsi="Times New Roman CYR" w:cs="Times New Roman CYR"/>
                <w:color w:val="000000"/>
                <w:sz w:val="20"/>
                <w:szCs w:val="20"/>
              </w:rPr>
              <w:t xml:space="preserve"> Прогноз вариант 2</w:t>
            </w:r>
          </w:p>
        </w:tc>
        <w:tc>
          <w:tcPr>
            <w:tcW w:w="1261" w:type="dxa"/>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w:t>
            </w:r>
            <w:r>
              <w:rPr>
                <w:rFonts w:ascii="Times New Roman" w:hAnsi="Times New Roman"/>
                <w:color w:val="000000"/>
                <w:sz w:val="20"/>
                <w:szCs w:val="20"/>
                <w:lang w:val="en-US"/>
              </w:rPr>
              <w:t>4</w:t>
            </w:r>
            <w:r>
              <w:rPr>
                <w:rFonts w:ascii="Times New Roman CYR" w:hAnsi="Times New Roman CYR" w:cs="Times New Roman CYR"/>
                <w:color w:val="000000"/>
                <w:sz w:val="20"/>
                <w:szCs w:val="20"/>
              </w:rPr>
              <w:t xml:space="preserve"> Прогноз вариант 2</w:t>
            </w:r>
          </w:p>
        </w:tc>
        <w:tc>
          <w:tcPr>
            <w:tcW w:w="1414" w:type="dxa"/>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w:t>
            </w:r>
            <w:r>
              <w:rPr>
                <w:rFonts w:ascii="Times New Roman" w:hAnsi="Times New Roman"/>
                <w:color w:val="000000"/>
                <w:sz w:val="20"/>
                <w:szCs w:val="20"/>
                <w:lang w:val="en-US"/>
              </w:rPr>
              <w:t>5</w:t>
            </w:r>
            <w:r>
              <w:rPr>
                <w:rFonts w:ascii="Times New Roman CYR" w:hAnsi="Times New Roman CYR" w:cs="Times New Roman CYR"/>
                <w:color w:val="000000"/>
                <w:sz w:val="20"/>
                <w:szCs w:val="20"/>
              </w:rPr>
              <w:t xml:space="preserve"> Прогноз вариант 2</w:t>
            </w:r>
          </w:p>
        </w:tc>
      </w:tr>
      <w:tr w:rsidR="0045218E">
        <w:tblPrEx>
          <w:tblCellMar>
            <w:top w:w="0" w:type="dxa"/>
            <w:bottom w:w="0" w:type="dxa"/>
          </w:tblCellMar>
        </w:tblPrEx>
        <w:trPr>
          <w:trHeight w:val="541"/>
          <w:jc w:val="center"/>
        </w:trPr>
        <w:tc>
          <w:tcPr>
            <w:tcW w:w="2158"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Производство зерна (в весе после доработки)</w:t>
            </w:r>
          </w:p>
        </w:tc>
        <w:tc>
          <w:tcPr>
            <w:tcW w:w="1006"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тн</w:t>
            </w:r>
          </w:p>
        </w:tc>
        <w:tc>
          <w:tcPr>
            <w:tcW w:w="1089"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left="-153" w:right="-79"/>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183288,92</w:t>
            </w:r>
          </w:p>
        </w:tc>
        <w:tc>
          <w:tcPr>
            <w:tcW w:w="1022"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left="-137" w:right="-7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167599,18</w:t>
            </w:r>
          </w:p>
        </w:tc>
        <w:tc>
          <w:tcPr>
            <w:tcW w:w="1119"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167766,8</w:t>
            </w:r>
          </w:p>
        </w:tc>
        <w:tc>
          <w:tcPr>
            <w:tcW w:w="1253" w:type="dxa"/>
            <w:tcBorders>
              <w:top w:val="nil"/>
              <w:left w:val="nil"/>
              <w:bottom w:val="single" w:sz="4" w:space="0" w:color="000000"/>
              <w:right w:val="single" w:sz="4" w:space="0" w:color="000000"/>
            </w:tcBorders>
            <w:vAlign w:val="center"/>
          </w:tcPr>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168324,5</w:t>
            </w:r>
          </w:p>
        </w:tc>
        <w:tc>
          <w:tcPr>
            <w:tcW w:w="1261"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168950</w:t>
            </w:r>
          </w:p>
        </w:tc>
        <w:tc>
          <w:tcPr>
            <w:tcW w:w="1414"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169760</w:t>
            </w:r>
          </w:p>
        </w:tc>
      </w:tr>
      <w:tr w:rsidR="0045218E">
        <w:tblPrEx>
          <w:tblCellMar>
            <w:top w:w="0" w:type="dxa"/>
            <w:bottom w:w="0" w:type="dxa"/>
          </w:tblCellMar>
        </w:tblPrEx>
        <w:trPr>
          <w:trHeight w:val="435"/>
          <w:jc w:val="center"/>
        </w:trPr>
        <w:tc>
          <w:tcPr>
            <w:tcW w:w="2158"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Производство картофеля</w:t>
            </w:r>
          </w:p>
        </w:tc>
        <w:tc>
          <w:tcPr>
            <w:tcW w:w="1006"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тн</w:t>
            </w:r>
          </w:p>
        </w:tc>
        <w:tc>
          <w:tcPr>
            <w:tcW w:w="1089"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left="-153" w:right="-79"/>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9499,5</w:t>
            </w:r>
          </w:p>
        </w:tc>
        <w:tc>
          <w:tcPr>
            <w:tcW w:w="1022"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left="-137" w:right="-7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7349,92</w:t>
            </w:r>
          </w:p>
        </w:tc>
        <w:tc>
          <w:tcPr>
            <w:tcW w:w="1119"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7386</w:t>
            </w:r>
          </w:p>
        </w:tc>
        <w:tc>
          <w:tcPr>
            <w:tcW w:w="1253"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7444</w:t>
            </w:r>
          </w:p>
        </w:tc>
        <w:tc>
          <w:tcPr>
            <w:tcW w:w="1261"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7509</w:t>
            </w:r>
          </w:p>
        </w:tc>
        <w:tc>
          <w:tcPr>
            <w:tcW w:w="1414"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7689</w:t>
            </w:r>
          </w:p>
        </w:tc>
      </w:tr>
      <w:tr w:rsidR="0045218E">
        <w:tblPrEx>
          <w:tblCellMar>
            <w:top w:w="0" w:type="dxa"/>
            <w:bottom w:w="0" w:type="dxa"/>
          </w:tblCellMar>
        </w:tblPrEx>
        <w:trPr>
          <w:trHeight w:val="413"/>
          <w:jc w:val="center"/>
        </w:trPr>
        <w:tc>
          <w:tcPr>
            <w:tcW w:w="2158"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Производство овощей</w:t>
            </w:r>
          </w:p>
        </w:tc>
        <w:tc>
          <w:tcPr>
            <w:tcW w:w="1006"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тн</w:t>
            </w:r>
          </w:p>
        </w:tc>
        <w:tc>
          <w:tcPr>
            <w:tcW w:w="1089"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left="-153" w:right="-79"/>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1424,76</w:t>
            </w:r>
          </w:p>
        </w:tc>
        <w:tc>
          <w:tcPr>
            <w:tcW w:w="1022"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left="-137" w:right="-7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1424,23</w:t>
            </w:r>
          </w:p>
        </w:tc>
        <w:tc>
          <w:tcPr>
            <w:tcW w:w="1119"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1424,23</w:t>
            </w:r>
          </w:p>
        </w:tc>
        <w:tc>
          <w:tcPr>
            <w:tcW w:w="1253"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1428</w:t>
            </w:r>
          </w:p>
        </w:tc>
        <w:tc>
          <w:tcPr>
            <w:tcW w:w="1261"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1438</w:t>
            </w:r>
          </w:p>
        </w:tc>
        <w:tc>
          <w:tcPr>
            <w:tcW w:w="1414"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1450</w:t>
            </w:r>
          </w:p>
        </w:tc>
      </w:tr>
      <w:tr w:rsidR="0045218E">
        <w:tblPrEx>
          <w:tblCellMar>
            <w:top w:w="0" w:type="dxa"/>
            <w:bottom w:w="0" w:type="dxa"/>
          </w:tblCellMar>
        </w:tblPrEx>
        <w:trPr>
          <w:trHeight w:val="547"/>
          <w:jc w:val="center"/>
        </w:trPr>
        <w:tc>
          <w:tcPr>
            <w:tcW w:w="2158"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Урожайность зерновых культур</w:t>
            </w:r>
          </w:p>
        </w:tc>
        <w:tc>
          <w:tcPr>
            <w:tcW w:w="1006"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ц/га</w:t>
            </w:r>
          </w:p>
        </w:tc>
        <w:tc>
          <w:tcPr>
            <w:tcW w:w="1089"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left="-153" w:right="-79"/>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26,6</w:t>
            </w:r>
          </w:p>
        </w:tc>
        <w:tc>
          <w:tcPr>
            <w:tcW w:w="1022"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left="-137" w:right="-7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26,8</w:t>
            </w:r>
          </w:p>
        </w:tc>
        <w:tc>
          <w:tcPr>
            <w:tcW w:w="1119"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26,9</w:t>
            </w:r>
          </w:p>
        </w:tc>
        <w:tc>
          <w:tcPr>
            <w:tcW w:w="1253"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27,45</w:t>
            </w:r>
          </w:p>
        </w:tc>
        <w:tc>
          <w:tcPr>
            <w:tcW w:w="1261"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c>
          <w:tcPr>
            <w:tcW w:w="1414"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28,55</w:t>
            </w:r>
          </w:p>
        </w:tc>
      </w:tr>
      <w:tr w:rsidR="0045218E">
        <w:tblPrEx>
          <w:tblCellMar>
            <w:top w:w="0" w:type="dxa"/>
            <w:bottom w:w="0" w:type="dxa"/>
          </w:tblCellMar>
        </w:tblPrEx>
        <w:trPr>
          <w:trHeight w:val="427"/>
          <w:jc w:val="center"/>
        </w:trPr>
        <w:tc>
          <w:tcPr>
            <w:tcW w:w="2158"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Урожайность картофеля</w:t>
            </w:r>
          </w:p>
        </w:tc>
        <w:tc>
          <w:tcPr>
            <w:tcW w:w="1006"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ц/га</w:t>
            </w:r>
          </w:p>
        </w:tc>
        <w:tc>
          <w:tcPr>
            <w:tcW w:w="1089"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left="-153" w:right="-79"/>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180,6</w:t>
            </w:r>
          </w:p>
        </w:tc>
        <w:tc>
          <w:tcPr>
            <w:tcW w:w="1022"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left="-137" w:right="-7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152,9</w:t>
            </w:r>
          </w:p>
        </w:tc>
        <w:tc>
          <w:tcPr>
            <w:tcW w:w="1119"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152,9</w:t>
            </w:r>
          </w:p>
        </w:tc>
        <w:tc>
          <w:tcPr>
            <w:tcW w:w="1253"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153,6</w:t>
            </w:r>
          </w:p>
        </w:tc>
        <w:tc>
          <w:tcPr>
            <w:tcW w:w="1261"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154,2</w:t>
            </w:r>
          </w:p>
        </w:tc>
        <w:tc>
          <w:tcPr>
            <w:tcW w:w="1414"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155,1</w:t>
            </w:r>
          </w:p>
        </w:tc>
      </w:tr>
    </w:tbl>
    <w:p w:rsidR="0045218E" w:rsidRDefault="0045218E">
      <w:pPr>
        <w:widowControl w:val="0"/>
        <w:autoSpaceDE w:val="0"/>
        <w:autoSpaceDN w:val="0"/>
        <w:adjustRightInd w:val="0"/>
        <w:spacing w:after="0" w:line="240" w:lineRule="auto"/>
        <w:ind w:right="380"/>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3.2 Животноводство</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0" w:line="276" w:lineRule="auto"/>
        <w:ind w:right="5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Комплексное развитие и повышение эффективности производства животноводческой продукции будет являться основным направлением агропромышленной политики </w:t>
      </w:r>
      <w:r w:rsidR="00A43DC4">
        <w:rPr>
          <w:rFonts w:ascii="Times New Roman CYR" w:hAnsi="Times New Roman CYR" w:cs="Times New Roman CYR"/>
          <w:sz w:val="28"/>
          <w:szCs w:val="28"/>
        </w:rPr>
        <w:t>на предстоящий</w:t>
      </w:r>
      <w:r>
        <w:rPr>
          <w:rFonts w:ascii="Times New Roman CYR" w:hAnsi="Times New Roman CYR" w:cs="Times New Roman CYR"/>
          <w:sz w:val="28"/>
          <w:szCs w:val="28"/>
        </w:rPr>
        <w:t xml:space="preserve"> трехлетний период. Увеличению объема производства продукции животноводства будет способствовать строительство и модернизация животноводческих комплексов,       </w:t>
      </w:r>
    </w:p>
    <w:p w:rsidR="0045218E" w:rsidRDefault="0045218E">
      <w:pPr>
        <w:autoSpaceDE w:val="0"/>
        <w:autoSpaceDN w:val="0"/>
        <w:adjustRightInd w:val="0"/>
        <w:spacing w:after="0" w:line="240" w:lineRule="auto"/>
        <w:ind w:right="520" w:firstLine="426"/>
        <w:jc w:val="both"/>
        <w:rPr>
          <w:rFonts w:ascii="Times New Roman CYR" w:hAnsi="Times New Roman CYR" w:cs="Times New Roman CYR"/>
          <w:i/>
          <w:iCs/>
          <w:sz w:val="28"/>
          <w:szCs w:val="28"/>
        </w:rPr>
      </w:pPr>
      <w:r>
        <w:rPr>
          <w:rFonts w:ascii="Times New Roman CYR" w:hAnsi="Times New Roman CYR" w:cs="Times New Roman CYR"/>
          <w:sz w:val="28"/>
          <w:szCs w:val="28"/>
        </w:rPr>
        <w:tab/>
        <w:t>По результатам производственно-финансовой деятельности двадцати двух сельскохозяйственных организаций выручка от реализации сельскохозяйственной продукции, работ и услуг за 202</w:t>
      </w:r>
      <w:r w:rsidRPr="00A43DC4">
        <w:rPr>
          <w:rFonts w:ascii="Times New Roman" w:hAnsi="Times New Roman"/>
          <w:sz w:val="28"/>
          <w:szCs w:val="28"/>
        </w:rPr>
        <w:t>1</w:t>
      </w:r>
      <w:r>
        <w:rPr>
          <w:rFonts w:ascii="Times New Roman CYR" w:hAnsi="Times New Roman CYR" w:cs="Times New Roman CYR"/>
          <w:sz w:val="28"/>
          <w:szCs w:val="28"/>
        </w:rPr>
        <w:t xml:space="preserve"> год составила 4029,8</w:t>
      </w:r>
      <w:r w:rsidR="00A43DC4">
        <w:rPr>
          <w:rFonts w:ascii="Times New Roman CYR" w:hAnsi="Times New Roman CYR" w:cs="Times New Roman CYR"/>
          <w:sz w:val="28"/>
          <w:szCs w:val="28"/>
        </w:rPr>
        <w:t xml:space="preserve"> </w:t>
      </w:r>
      <w:r>
        <w:rPr>
          <w:rFonts w:ascii="Times New Roman CYR" w:hAnsi="Times New Roman CYR" w:cs="Times New Roman CYR"/>
          <w:sz w:val="28"/>
          <w:szCs w:val="28"/>
        </w:rPr>
        <w:t>млн.рублей.</w:t>
      </w:r>
    </w:p>
    <w:p w:rsidR="0045218E" w:rsidRDefault="0045218E">
      <w:pPr>
        <w:autoSpaceDE w:val="0"/>
        <w:autoSpaceDN w:val="0"/>
        <w:adjustRightInd w:val="0"/>
        <w:spacing w:after="0" w:line="240" w:lineRule="auto"/>
        <w:ind w:right="520" w:firstLine="851"/>
        <w:jc w:val="both"/>
        <w:rPr>
          <w:rFonts w:ascii="Times New Roman CYR" w:hAnsi="Times New Roman CYR" w:cs="Times New Roman CYR"/>
          <w:sz w:val="28"/>
          <w:szCs w:val="28"/>
        </w:rPr>
      </w:pPr>
      <w:r>
        <w:rPr>
          <w:rFonts w:ascii="Times New Roman CYR" w:hAnsi="Times New Roman CYR" w:cs="Times New Roman CYR"/>
          <w:sz w:val="28"/>
          <w:szCs w:val="28"/>
        </w:rPr>
        <w:t>Поголовье крупного рогатого скота в 202</w:t>
      </w:r>
      <w:r w:rsidRPr="00A43DC4">
        <w:rPr>
          <w:rFonts w:ascii="Times New Roman" w:hAnsi="Times New Roman"/>
          <w:sz w:val="28"/>
          <w:szCs w:val="28"/>
        </w:rPr>
        <w:t>1</w:t>
      </w:r>
      <w:r>
        <w:rPr>
          <w:rFonts w:ascii="Times New Roman CYR" w:hAnsi="Times New Roman CYR" w:cs="Times New Roman CYR"/>
          <w:sz w:val="28"/>
          <w:szCs w:val="28"/>
        </w:rPr>
        <w:t xml:space="preserve"> </w:t>
      </w:r>
      <w:r w:rsidR="00A43DC4">
        <w:rPr>
          <w:rFonts w:ascii="Times New Roman CYR" w:hAnsi="Times New Roman CYR" w:cs="Times New Roman CYR"/>
          <w:sz w:val="28"/>
          <w:szCs w:val="28"/>
        </w:rPr>
        <w:t>году понизилось</w:t>
      </w:r>
      <w:r>
        <w:rPr>
          <w:rFonts w:ascii="Times New Roman CYR" w:hAnsi="Times New Roman CYR" w:cs="Times New Roman CYR"/>
          <w:sz w:val="28"/>
          <w:szCs w:val="28"/>
        </w:rPr>
        <w:t xml:space="preserve">  на 0,9 % и составило 12171 гол. В перспективе планируется увеличение поголовья и доведение его к концу  202</w:t>
      </w:r>
      <w:r w:rsidRPr="00A43DC4">
        <w:rPr>
          <w:rFonts w:ascii="Times New Roman" w:hAnsi="Times New Roman"/>
          <w:sz w:val="28"/>
          <w:szCs w:val="28"/>
        </w:rPr>
        <w:t>5</w:t>
      </w:r>
      <w:r>
        <w:rPr>
          <w:rFonts w:ascii="Times New Roman CYR" w:hAnsi="Times New Roman CYR" w:cs="Times New Roman CYR"/>
          <w:sz w:val="28"/>
          <w:szCs w:val="28"/>
        </w:rPr>
        <w:t xml:space="preserve"> года до 12316 голов.</w:t>
      </w:r>
    </w:p>
    <w:p w:rsidR="0045218E" w:rsidRDefault="0045218E">
      <w:pPr>
        <w:tabs>
          <w:tab w:val="left" w:pos="851"/>
        </w:tabs>
        <w:autoSpaceDE w:val="0"/>
        <w:autoSpaceDN w:val="0"/>
        <w:adjustRightInd w:val="0"/>
        <w:spacing w:after="120" w:line="240" w:lineRule="auto"/>
        <w:ind w:right="5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перспективе планируется за  счет проведения ряда мероприятий по улучшению показателей воспроизводства стада и  обновлению материально-технической базы животноводства, приобретения племенного материала организациями АПК увеличение поголовья коров и  доведение их числа к 202</w:t>
      </w:r>
      <w:r w:rsidRPr="00A43DC4">
        <w:rPr>
          <w:rFonts w:ascii="Times New Roman" w:hAnsi="Times New Roman"/>
          <w:sz w:val="28"/>
          <w:szCs w:val="28"/>
        </w:rPr>
        <w:t>5</w:t>
      </w:r>
      <w:r>
        <w:rPr>
          <w:rFonts w:ascii="Times New Roman CYR" w:hAnsi="Times New Roman CYR" w:cs="Times New Roman CYR"/>
          <w:sz w:val="28"/>
          <w:szCs w:val="28"/>
        </w:rPr>
        <w:t xml:space="preserve"> году до 4,7 тыс.голов.</w:t>
      </w:r>
    </w:p>
    <w:p w:rsidR="0045218E" w:rsidRDefault="0045218E">
      <w:pPr>
        <w:autoSpaceDE w:val="0"/>
        <w:autoSpaceDN w:val="0"/>
        <w:adjustRightInd w:val="0"/>
        <w:spacing w:after="0" w:line="240" w:lineRule="auto"/>
        <w:ind w:right="520" w:firstLine="851"/>
        <w:jc w:val="both"/>
        <w:rPr>
          <w:rFonts w:ascii="Times New Roman CYR" w:hAnsi="Times New Roman CYR" w:cs="Times New Roman CYR"/>
          <w:sz w:val="28"/>
          <w:szCs w:val="28"/>
        </w:rPr>
      </w:pPr>
      <w:r>
        <w:rPr>
          <w:rFonts w:ascii="Times New Roman CYR" w:hAnsi="Times New Roman CYR" w:cs="Times New Roman CYR"/>
          <w:sz w:val="28"/>
          <w:szCs w:val="28"/>
        </w:rPr>
        <w:t>Надой молока на 1 среднегодовую корову по всем категориям хозяйств в 202</w:t>
      </w:r>
      <w:r w:rsidRPr="00A43DC4">
        <w:rPr>
          <w:rFonts w:ascii="Times New Roman" w:hAnsi="Times New Roman"/>
          <w:sz w:val="28"/>
          <w:szCs w:val="28"/>
        </w:rPr>
        <w:t>1</w:t>
      </w:r>
      <w:r>
        <w:rPr>
          <w:rFonts w:ascii="Times New Roman CYR" w:hAnsi="Times New Roman CYR" w:cs="Times New Roman CYR"/>
          <w:sz w:val="28"/>
          <w:szCs w:val="28"/>
        </w:rPr>
        <w:t xml:space="preserve"> году составил 5463,28кг, в 202</w:t>
      </w:r>
      <w:r w:rsidRPr="00A43DC4">
        <w:rPr>
          <w:rFonts w:ascii="Times New Roman" w:hAnsi="Times New Roman"/>
          <w:sz w:val="28"/>
          <w:szCs w:val="28"/>
        </w:rPr>
        <w:t>2</w:t>
      </w:r>
      <w:r>
        <w:rPr>
          <w:rFonts w:ascii="Times New Roman CYR" w:hAnsi="Times New Roman CYR" w:cs="Times New Roman CYR"/>
          <w:sz w:val="28"/>
          <w:szCs w:val="28"/>
        </w:rPr>
        <w:t>-202</w:t>
      </w:r>
      <w:r w:rsidRPr="00A43DC4">
        <w:rPr>
          <w:rFonts w:ascii="Times New Roman" w:hAnsi="Times New Roman"/>
          <w:sz w:val="28"/>
          <w:szCs w:val="28"/>
        </w:rPr>
        <w:t>5</w:t>
      </w:r>
      <w:r>
        <w:rPr>
          <w:rFonts w:ascii="Times New Roman CYR" w:hAnsi="Times New Roman CYR" w:cs="Times New Roman CYR"/>
          <w:sz w:val="28"/>
          <w:szCs w:val="28"/>
        </w:rPr>
        <w:t xml:space="preserve"> годах прогнозируется рост продуктивности коров до 5474 кг молока в год.  </w:t>
      </w:r>
    </w:p>
    <w:p w:rsidR="0045218E" w:rsidRDefault="0045218E" w:rsidP="00A43DC4">
      <w:pPr>
        <w:autoSpaceDE w:val="0"/>
        <w:autoSpaceDN w:val="0"/>
        <w:adjustRightInd w:val="0"/>
        <w:spacing w:after="0" w:line="240" w:lineRule="auto"/>
        <w:ind w:right="520" w:firstLine="720"/>
        <w:jc w:val="both"/>
        <w:rPr>
          <w:rFonts w:ascii="Times New Roman CYR" w:hAnsi="Times New Roman CYR" w:cs="Times New Roman CYR"/>
          <w:sz w:val="28"/>
          <w:szCs w:val="28"/>
        </w:rPr>
      </w:pPr>
      <w:r>
        <w:rPr>
          <w:rFonts w:ascii="Times New Roman CYR" w:hAnsi="Times New Roman CYR" w:cs="Times New Roman CYR"/>
          <w:sz w:val="28"/>
          <w:szCs w:val="28"/>
        </w:rPr>
        <w:t>Общий объем отгруженных товаров собственного производства, выполненных работ и услуг собственными силами по всем хозяйствам района (животноводство) в  202</w:t>
      </w:r>
      <w:r w:rsidRPr="00A43DC4">
        <w:rPr>
          <w:rFonts w:ascii="Times New Roman" w:hAnsi="Times New Roman"/>
          <w:sz w:val="28"/>
          <w:szCs w:val="28"/>
        </w:rPr>
        <w:t>1</w:t>
      </w:r>
      <w:r>
        <w:rPr>
          <w:rFonts w:ascii="Times New Roman CYR" w:hAnsi="Times New Roman CYR" w:cs="Times New Roman CYR"/>
          <w:sz w:val="28"/>
          <w:szCs w:val="28"/>
        </w:rPr>
        <w:t xml:space="preserve"> году составил  3014,0млн. руб., в 202</w:t>
      </w:r>
      <w:r w:rsidRPr="00A43DC4">
        <w:rPr>
          <w:rFonts w:ascii="Times New Roman" w:hAnsi="Times New Roman"/>
          <w:sz w:val="28"/>
          <w:szCs w:val="28"/>
        </w:rPr>
        <w:t>2</w:t>
      </w:r>
      <w:r>
        <w:rPr>
          <w:rFonts w:ascii="Times New Roman CYR" w:hAnsi="Times New Roman CYR" w:cs="Times New Roman CYR"/>
          <w:sz w:val="28"/>
          <w:szCs w:val="28"/>
        </w:rPr>
        <w:t xml:space="preserve"> году планируется 3631,5млн. руб., в 202</w:t>
      </w:r>
      <w:r w:rsidRPr="00A43DC4">
        <w:rPr>
          <w:rFonts w:ascii="Times New Roman" w:hAnsi="Times New Roman"/>
          <w:sz w:val="28"/>
          <w:szCs w:val="28"/>
        </w:rPr>
        <w:t>3</w:t>
      </w:r>
      <w:r>
        <w:rPr>
          <w:rFonts w:ascii="Times New Roman CYR" w:hAnsi="Times New Roman CYR" w:cs="Times New Roman CYR"/>
          <w:sz w:val="28"/>
          <w:szCs w:val="28"/>
        </w:rPr>
        <w:t xml:space="preserve"> году 3934,4млн. руб., в 202</w:t>
      </w:r>
      <w:r w:rsidRPr="00A43DC4">
        <w:rPr>
          <w:rFonts w:ascii="Times New Roman" w:hAnsi="Times New Roman"/>
          <w:sz w:val="28"/>
          <w:szCs w:val="28"/>
        </w:rPr>
        <w:t>4</w:t>
      </w:r>
      <w:r>
        <w:rPr>
          <w:rFonts w:ascii="Times New Roman CYR" w:hAnsi="Times New Roman CYR" w:cs="Times New Roman CYR"/>
          <w:sz w:val="28"/>
          <w:szCs w:val="28"/>
        </w:rPr>
        <w:t>- 4126,2млн. руб., в 202</w:t>
      </w:r>
      <w:r w:rsidRPr="00A43DC4">
        <w:rPr>
          <w:rFonts w:ascii="Times New Roman" w:hAnsi="Times New Roman"/>
          <w:sz w:val="28"/>
          <w:szCs w:val="28"/>
        </w:rPr>
        <w:t>5</w:t>
      </w:r>
      <w:r>
        <w:rPr>
          <w:rFonts w:ascii="Times New Roman CYR" w:hAnsi="Times New Roman CYR" w:cs="Times New Roman CYR"/>
          <w:sz w:val="28"/>
          <w:szCs w:val="28"/>
        </w:rPr>
        <w:t xml:space="preserve"> – 4314,3млн. руб. </w:t>
      </w:r>
    </w:p>
    <w:p w:rsidR="0045218E" w:rsidRDefault="0045218E">
      <w:pPr>
        <w:autoSpaceDE w:val="0"/>
        <w:autoSpaceDN w:val="0"/>
        <w:adjustRightInd w:val="0"/>
        <w:spacing w:after="0" w:line="240" w:lineRule="auto"/>
        <w:ind w:right="520" w:firstLine="851"/>
        <w:jc w:val="both"/>
        <w:rPr>
          <w:rFonts w:ascii="Times New Roman CYR" w:hAnsi="Times New Roman CYR" w:cs="Times New Roman CYR"/>
          <w:sz w:val="28"/>
          <w:szCs w:val="28"/>
        </w:rPr>
      </w:pPr>
      <w:r>
        <w:rPr>
          <w:rFonts w:ascii="Times New Roman CYR" w:hAnsi="Times New Roman CYR" w:cs="Times New Roman CYR"/>
          <w:sz w:val="28"/>
          <w:szCs w:val="28"/>
        </w:rPr>
        <w:t>Индекс производства сельскохозяйственными предприятиями  составляет: к уровню 202</w:t>
      </w:r>
      <w:r w:rsidRPr="00A43DC4">
        <w:rPr>
          <w:rFonts w:ascii="Times New Roman" w:hAnsi="Times New Roman"/>
          <w:sz w:val="28"/>
          <w:szCs w:val="28"/>
        </w:rPr>
        <w:t>1</w:t>
      </w:r>
      <w:r>
        <w:rPr>
          <w:rFonts w:ascii="Times New Roman CYR" w:hAnsi="Times New Roman CYR" w:cs="Times New Roman CYR"/>
          <w:sz w:val="28"/>
          <w:szCs w:val="28"/>
        </w:rPr>
        <w:t xml:space="preserve"> года 93,2 % к уровню 202</w:t>
      </w:r>
      <w:r w:rsidRPr="00A43DC4">
        <w:rPr>
          <w:rFonts w:ascii="Times New Roman" w:hAnsi="Times New Roman"/>
          <w:sz w:val="28"/>
          <w:szCs w:val="28"/>
        </w:rPr>
        <w:t>2</w:t>
      </w:r>
      <w:r>
        <w:rPr>
          <w:rFonts w:ascii="Times New Roman CYR" w:hAnsi="Times New Roman CYR" w:cs="Times New Roman CYR"/>
          <w:sz w:val="28"/>
          <w:szCs w:val="28"/>
        </w:rPr>
        <w:t xml:space="preserve"> года – 100,1%, к уровню 202</w:t>
      </w:r>
      <w:r w:rsidRPr="00A43DC4">
        <w:rPr>
          <w:rFonts w:ascii="Times New Roman" w:hAnsi="Times New Roman"/>
          <w:sz w:val="28"/>
          <w:szCs w:val="28"/>
        </w:rPr>
        <w:t>3</w:t>
      </w:r>
      <w:r>
        <w:rPr>
          <w:rFonts w:ascii="Times New Roman CYR" w:hAnsi="Times New Roman CYR" w:cs="Times New Roman CYR"/>
          <w:sz w:val="28"/>
          <w:szCs w:val="28"/>
        </w:rPr>
        <w:t xml:space="preserve"> года планируется  100,3%,  к уровню в 202</w:t>
      </w:r>
      <w:r w:rsidRPr="00A43DC4">
        <w:rPr>
          <w:rFonts w:ascii="Times New Roman" w:hAnsi="Times New Roman"/>
          <w:sz w:val="28"/>
          <w:szCs w:val="28"/>
        </w:rPr>
        <w:t>4</w:t>
      </w:r>
      <w:r>
        <w:rPr>
          <w:rFonts w:ascii="Times New Roman CYR" w:hAnsi="Times New Roman CYR" w:cs="Times New Roman CYR"/>
          <w:sz w:val="28"/>
          <w:szCs w:val="28"/>
        </w:rPr>
        <w:t xml:space="preserve"> года 100,3  %, к уровню 202</w:t>
      </w:r>
      <w:r w:rsidRPr="00A43DC4">
        <w:rPr>
          <w:rFonts w:ascii="Times New Roman" w:hAnsi="Times New Roman"/>
          <w:sz w:val="28"/>
          <w:szCs w:val="28"/>
        </w:rPr>
        <w:t>5</w:t>
      </w:r>
      <w:r>
        <w:rPr>
          <w:rFonts w:ascii="Times New Roman CYR" w:hAnsi="Times New Roman CYR" w:cs="Times New Roman CYR"/>
          <w:sz w:val="28"/>
          <w:szCs w:val="28"/>
        </w:rPr>
        <w:t xml:space="preserve"> года -100,4%. </w:t>
      </w:r>
    </w:p>
    <w:p w:rsidR="0045218E" w:rsidRDefault="0045218E">
      <w:pPr>
        <w:autoSpaceDE w:val="0"/>
        <w:autoSpaceDN w:val="0"/>
        <w:adjustRightInd w:val="0"/>
        <w:spacing w:after="0" w:line="240" w:lineRule="auto"/>
        <w:ind w:right="520" w:firstLine="851"/>
        <w:jc w:val="both"/>
        <w:rPr>
          <w:rFonts w:ascii="Times New Roman CYR" w:hAnsi="Times New Roman CYR" w:cs="Times New Roman CYR"/>
          <w:sz w:val="28"/>
          <w:szCs w:val="28"/>
        </w:rPr>
      </w:pPr>
      <w:r>
        <w:rPr>
          <w:rFonts w:ascii="Times New Roman CYR" w:hAnsi="Times New Roman CYR" w:cs="Times New Roman CYR"/>
          <w:sz w:val="28"/>
          <w:szCs w:val="28"/>
        </w:rPr>
        <w:t>Динамика натуральных показателей сельскохозяйственного производства представлена в таблице № 3.</w:t>
      </w:r>
    </w:p>
    <w:p w:rsidR="0045218E" w:rsidRDefault="0045218E">
      <w:pPr>
        <w:autoSpaceDE w:val="0"/>
        <w:autoSpaceDN w:val="0"/>
        <w:adjustRightInd w:val="0"/>
        <w:spacing w:after="0" w:line="240" w:lineRule="auto"/>
        <w:ind w:right="520" w:firstLine="851"/>
        <w:jc w:val="right"/>
        <w:rPr>
          <w:rFonts w:ascii="Times New Roman CYR" w:hAnsi="Times New Roman CYR" w:cs="Times New Roman CYR"/>
          <w:sz w:val="28"/>
          <w:szCs w:val="28"/>
        </w:rPr>
      </w:pPr>
    </w:p>
    <w:p w:rsidR="0045218E" w:rsidRDefault="0045218E">
      <w:pPr>
        <w:autoSpaceDE w:val="0"/>
        <w:autoSpaceDN w:val="0"/>
        <w:adjustRightInd w:val="0"/>
        <w:spacing w:after="0" w:line="240" w:lineRule="auto"/>
        <w:ind w:right="520"/>
        <w:jc w:val="right"/>
        <w:rPr>
          <w:rFonts w:ascii="Times New Roman CYR" w:hAnsi="Times New Roman CYR" w:cs="Times New Roman CYR"/>
          <w:sz w:val="28"/>
          <w:szCs w:val="28"/>
        </w:rPr>
      </w:pPr>
      <w:r>
        <w:rPr>
          <w:rFonts w:ascii="Times New Roman CYR" w:hAnsi="Times New Roman CYR" w:cs="Times New Roman CYR"/>
          <w:sz w:val="28"/>
          <w:szCs w:val="28"/>
        </w:rPr>
        <w:t>Таблица 3. Показатели сельскохозяйственного производства</w:t>
      </w:r>
    </w:p>
    <w:p w:rsidR="0045218E" w:rsidRDefault="0045218E">
      <w:pPr>
        <w:autoSpaceDE w:val="0"/>
        <w:autoSpaceDN w:val="0"/>
        <w:adjustRightInd w:val="0"/>
        <w:spacing w:after="0" w:line="240" w:lineRule="auto"/>
        <w:ind w:right="520" w:firstLine="851"/>
        <w:jc w:val="right"/>
        <w:rPr>
          <w:rFonts w:ascii="Times New Roman CYR" w:hAnsi="Times New Roman CYR" w:cs="Times New Roman CYR"/>
          <w:sz w:val="28"/>
          <w:szCs w:val="28"/>
        </w:rPr>
      </w:pPr>
    </w:p>
    <w:tbl>
      <w:tblPr>
        <w:tblW w:w="0" w:type="auto"/>
        <w:jc w:val="center"/>
        <w:tblLayout w:type="fixed"/>
        <w:tblLook w:val="0000" w:firstRow="0" w:lastRow="0" w:firstColumn="0" w:lastColumn="0" w:noHBand="0" w:noVBand="0"/>
      </w:tblPr>
      <w:tblGrid>
        <w:gridCol w:w="2830"/>
        <w:gridCol w:w="1113"/>
        <w:gridCol w:w="838"/>
        <w:gridCol w:w="1075"/>
        <w:gridCol w:w="839"/>
        <w:gridCol w:w="11"/>
        <w:gridCol w:w="1093"/>
        <w:gridCol w:w="11"/>
        <w:gridCol w:w="1123"/>
        <w:gridCol w:w="11"/>
        <w:gridCol w:w="1123"/>
        <w:gridCol w:w="11"/>
      </w:tblGrid>
      <w:tr w:rsidR="0045218E">
        <w:tblPrEx>
          <w:tblCellMar>
            <w:top w:w="0" w:type="dxa"/>
            <w:bottom w:w="0" w:type="dxa"/>
          </w:tblCellMar>
        </w:tblPrEx>
        <w:trPr>
          <w:trHeight w:val="606"/>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Наименование показателя</w:t>
            </w:r>
          </w:p>
        </w:tc>
        <w:tc>
          <w:tcPr>
            <w:tcW w:w="1113" w:type="dxa"/>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Единицы измерения</w:t>
            </w:r>
          </w:p>
        </w:tc>
        <w:tc>
          <w:tcPr>
            <w:tcW w:w="838" w:type="dxa"/>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r>
              <w:rPr>
                <w:rFonts w:ascii="Times New Roman" w:hAnsi="Times New Roman"/>
                <w:color w:val="000000"/>
                <w:sz w:val="20"/>
                <w:szCs w:val="20"/>
                <w:lang w:val="en-US"/>
              </w:rPr>
              <w:t>2</w:t>
            </w:r>
            <w:r>
              <w:rPr>
                <w:rFonts w:ascii="Times New Roman CYR" w:hAnsi="Times New Roman CYR" w:cs="Times New Roman CYR"/>
                <w:color w:val="000000"/>
                <w:sz w:val="20"/>
                <w:szCs w:val="20"/>
              </w:rPr>
              <w:t>0 Отчет</w:t>
            </w:r>
          </w:p>
        </w:tc>
        <w:tc>
          <w:tcPr>
            <w:tcW w:w="1075" w:type="dxa"/>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2021 Отчет</w:t>
            </w:r>
          </w:p>
        </w:tc>
        <w:tc>
          <w:tcPr>
            <w:tcW w:w="850" w:type="dxa"/>
            <w:gridSpan w:val="2"/>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2022 Оценка</w:t>
            </w:r>
          </w:p>
        </w:tc>
        <w:tc>
          <w:tcPr>
            <w:tcW w:w="1104" w:type="dxa"/>
            <w:gridSpan w:val="2"/>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2023 Прогноз вариант 2</w:t>
            </w:r>
          </w:p>
        </w:tc>
        <w:tc>
          <w:tcPr>
            <w:tcW w:w="1134" w:type="dxa"/>
            <w:gridSpan w:val="2"/>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2024 Прогноз вариант 2</w:t>
            </w:r>
          </w:p>
        </w:tc>
        <w:tc>
          <w:tcPr>
            <w:tcW w:w="1134" w:type="dxa"/>
            <w:gridSpan w:val="2"/>
            <w:tcBorders>
              <w:top w:val="single" w:sz="4" w:space="0" w:color="000000"/>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ind w:right="400"/>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w:t>
            </w:r>
            <w:r>
              <w:rPr>
                <w:rFonts w:ascii="Times New Roman" w:hAnsi="Times New Roman"/>
                <w:color w:val="000000"/>
                <w:sz w:val="20"/>
                <w:szCs w:val="20"/>
                <w:lang w:val="en-US"/>
              </w:rPr>
              <w:t>5</w:t>
            </w:r>
            <w:r>
              <w:rPr>
                <w:rFonts w:ascii="Times New Roman CYR" w:hAnsi="Times New Roman CYR" w:cs="Times New Roman CYR"/>
                <w:color w:val="000000"/>
                <w:sz w:val="20"/>
                <w:szCs w:val="20"/>
              </w:rPr>
              <w:t xml:space="preserve"> Прогноз вариант 2</w:t>
            </w:r>
          </w:p>
        </w:tc>
      </w:tr>
      <w:tr w:rsidR="0045218E">
        <w:tblPrEx>
          <w:tblCellMar>
            <w:top w:w="0" w:type="dxa"/>
            <w:bottom w:w="0" w:type="dxa"/>
          </w:tblCellMar>
        </w:tblPrEx>
        <w:trPr>
          <w:trHeight w:val="605"/>
          <w:jc w:val="center"/>
        </w:trPr>
        <w:tc>
          <w:tcPr>
            <w:tcW w:w="2830"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Поголовье крупного рогатого скота</w:t>
            </w:r>
          </w:p>
        </w:tc>
        <w:tc>
          <w:tcPr>
            <w:tcW w:w="1113"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голов</w:t>
            </w:r>
          </w:p>
        </w:tc>
        <w:tc>
          <w:tcPr>
            <w:tcW w:w="838"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12745</w:t>
            </w:r>
          </w:p>
        </w:tc>
        <w:tc>
          <w:tcPr>
            <w:tcW w:w="1075"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12171</w:t>
            </w:r>
          </w:p>
        </w:tc>
        <w:tc>
          <w:tcPr>
            <w:tcW w:w="850"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12250</w:t>
            </w:r>
          </w:p>
        </w:tc>
        <w:tc>
          <w:tcPr>
            <w:tcW w:w="110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12279</w:t>
            </w: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12297</w:t>
            </w: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12316</w:t>
            </w:r>
          </w:p>
        </w:tc>
      </w:tr>
      <w:tr w:rsidR="0045218E">
        <w:tblPrEx>
          <w:tblCellMar>
            <w:top w:w="0" w:type="dxa"/>
            <w:bottom w:w="0" w:type="dxa"/>
          </w:tblCellMar>
        </w:tblPrEx>
        <w:trPr>
          <w:trHeight w:val="300"/>
          <w:jc w:val="center"/>
        </w:trPr>
        <w:tc>
          <w:tcPr>
            <w:tcW w:w="2830"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Поголовье коров</w:t>
            </w:r>
          </w:p>
        </w:tc>
        <w:tc>
          <w:tcPr>
            <w:tcW w:w="1113"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голов</w:t>
            </w:r>
          </w:p>
        </w:tc>
        <w:tc>
          <w:tcPr>
            <w:tcW w:w="838"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4895</w:t>
            </w:r>
          </w:p>
        </w:tc>
        <w:tc>
          <w:tcPr>
            <w:tcW w:w="1075"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4669</w:t>
            </w:r>
          </w:p>
        </w:tc>
        <w:tc>
          <w:tcPr>
            <w:tcW w:w="850"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4669</w:t>
            </w:r>
          </w:p>
        </w:tc>
        <w:tc>
          <w:tcPr>
            <w:tcW w:w="110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4714</w:t>
            </w: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4755</w:t>
            </w: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4796</w:t>
            </w:r>
          </w:p>
        </w:tc>
      </w:tr>
      <w:tr w:rsidR="0045218E">
        <w:tblPrEx>
          <w:tblCellMar>
            <w:top w:w="0" w:type="dxa"/>
            <w:bottom w:w="0" w:type="dxa"/>
          </w:tblCellMar>
        </w:tblPrEx>
        <w:trPr>
          <w:trHeight w:val="390"/>
          <w:jc w:val="center"/>
        </w:trPr>
        <w:tc>
          <w:tcPr>
            <w:tcW w:w="2830"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Поголовье свиньей</w:t>
            </w:r>
          </w:p>
        </w:tc>
        <w:tc>
          <w:tcPr>
            <w:tcW w:w="1113"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голов</w:t>
            </w:r>
          </w:p>
        </w:tc>
        <w:tc>
          <w:tcPr>
            <w:tcW w:w="838"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7948</w:t>
            </w:r>
          </w:p>
        </w:tc>
        <w:tc>
          <w:tcPr>
            <w:tcW w:w="1075"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5877</w:t>
            </w:r>
          </w:p>
        </w:tc>
        <w:tc>
          <w:tcPr>
            <w:tcW w:w="850"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5879</w:t>
            </w:r>
          </w:p>
        </w:tc>
        <w:tc>
          <w:tcPr>
            <w:tcW w:w="110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5890</w:t>
            </w: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5903</w:t>
            </w: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5918</w:t>
            </w:r>
          </w:p>
        </w:tc>
      </w:tr>
      <w:tr w:rsidR="0045218E">
        <w:tblPrEx>
          <w:tblCellMar>
            <w:top w:w="0" w:type="dxa"/>
            <w:bottom w:w="0" w:type="dxa"/>
          </w:tblCellMar>
        </w:tblPrEx>
        <w:trPr>
          <w:trHeight w:val="300"/>
          <w:jc w:val="center"/>
        </w:trPr>
        <w:tc>
          <w:tcPr>
            <w:tcW w:w="2830"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Поголовье овец, коз</w:t>
            </w:r>
          </w:p>
        </w:tc>
        <w:tc>
          <w:tcPr>
            <w:tcW w:w="1113"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голов</w:t>
            </w:r>
          </w:p>
        </w:tc>
        <w:tc>
          <w:tcPr>
            <w:tcW w:w="838"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2245</w:t>
            </w:r>
          </w:p>
        </w:tc>
        <w:tc>
          <w:tcPr>
            <w:tcW w:w="1075"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1626</w:t>
            </w:r>
          </w:p>
        </w:tc>
        <w:tc>
          <w:tcPr>
            <w:tcW w:w="850"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1627</w:t>
            </w:r>
          </w:p>
        </w:tc>
        <w:tc>
          <w:tcPr>
            <w:tcW w:w="110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1701</w:t>
            </w: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1706</w:t>
            </w: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1714</w:t>
            </w:r>
          </w:p>
        </w:tc>
      </w:tr>
      <w:tr w:rsidR="0045218E">
        <w:tblPrEx>
          <w:tblCellMar>
            <w:top w:w="0" w:type="dxa"/>
            <w:bottom w:w="0" w:type="dxa"/>
          </w:tblCellMar>
        </w:tblPrEx>
        <w:trPr>
          <w:trHeight w:val="812"/>
          <w:jc w:val="center"/>
        </w:trPr>
        <w:tc>
          <w:tcPr>
            <w:tcW w:w="2830"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p>
        </w:tc>
        <w:tc>
          <w:tcPr>
            <w:tcW w:w="1113"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тыс.голов</w:t>
            </w:r>
          </w:p>
        </w:tc>
        <w:tc>
          <w:tcPr>
            <w:tcW w:w="838"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075"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850"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0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p>
        </w:tc>
      </w:tr>
      <w:tr w:rsidR="0045218E">
        <w:tblPrEx>
          <w:tblCellMar>
            <w:top w:w="0" w:type="dxa"/>
            <w:bottom w:w="0" w:type="dxa"/>
          </w:tblCellMar>
        </w:tblPrEx>
        <w:trPr>
          <w:trHeight w:val="300"/>
          <w:jc w:val="center"/>
        </w:trPr>
        <w:tc>
          <w:tcPr>
            <w:tcW w:w="2830"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Поголовье северных оленей</w:t>
            </w:r>
          </w:p>
        </w:tc>
        <w:tc>
          <w:tcPr>
            <w:tcW w:w="1113"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голов</w:t>
            </w:r>
          </w:p>
        </w:tc>
        <w:tc>
          <w:tcPr>
            <w:tcW w:w="838"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075"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850"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0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p>
        </w:tc>
      </w:tr>
      <w:tr w:rsidR="0045218E">
        <w:tblPrEx>
          <w:tblCellMar>
            <w:top w:w="0" w:type="dxa"/>
            <w:bottom w:w="0" w:type="dxa"/>
          </w:tblCellMar>
        </w:tblPrEx>
        <w:trPr>
          <w:gridAfter w:val="1"/>
          <w:wAfter w:w="11" w:type="dxa"/>
          <w:trHeight w:val="420"/>
          <w:jc w:val="center"/>
        </w:trPr>
        <w:tc>
          <w:tcPr>
            <w:tcW w:w="2830"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производство скота и птицы на убой (в живом весе)</w:t>
            </w:r>
          </w:p>
        </w:tc>
        <w:tc>
          <w:tcPr>
            <w:tcW w:w="1113"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тн</w:t>
            </w:r>
          </w:p>
        </w:tc>
        <w:tc>
          <w:tcPr>
            <w:tcW w:w="838"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3772</w:t>
            </w:r>
          </w:p>
        </w:tc>
        <w:tc>
          <w:tcPr>
            <w:tcW w:w="1075"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3707</w:t>
            </w:r>
          </w:p>
        </w:tc>
        <w:tc>
          <w:tcPr>
            <w:tcW w:w="839"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3708</w:t>
            </w:r>
          </w:p>
        </w:tc>
        <w:tc>
          <w:tcPr>
            <w:tcW w:w="110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3715</w:t>
            </w: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3724</w:t>
            </w: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3731</w:t>
            </w:r>
          </w:p>
        </w:tc>
      </w:tr>
      <w:tr w:rsidR="0045218E">
        <w:tblPrEx>
          <w:tblCellMar>
            <w:top w:w="0" w:type="dxa"/>
            <w:bottom w:w="0" w:type="dxa"/>
          </w:tblCellMar>
        </w:tblPrEx>
        <w:trPr>
          <w:trHeight w:val="345"/>
          <w:jc w:val="center"/>
        </w:trPr>
        <w:tc>
          <w:tcPr>
            <w:tcW w:w="2830" w:type="dxa"/>
            <w:tcBorders>
              <w:top w:val="nil"/>
              <w:left w:val="single" w:sz="4" w:space="0" w:color="000000"/>
              <w:bottom w:val="single" w:sz="4" w:space="0" w:color="000000"/>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производство молока</w:t>
            </w:r>
          </w:p>
        </w:tc>
        <w:tc>
          <w:tcPr>
            <w:tcW w:w="1113"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тн</w:t>
            </w:r>
          </w:p>
        </w:tc>
        <w:tc>
          <w:tcPr>
            <w:tcW w:w="838"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23166</w:t>
            </w:r>
          </w:p>
        </w:tc>
        <w:tc>
          <w:tcPr>
            <w:tcW w:w="1075" w:type="dxa"/>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22188</w:t>
            </w:r>
          </w:p>
        </w:tc>
        <w:tc>
          <w:tcPr>
            <w:tcW w:w="850"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22189</w:t>
            </w:r>
          </w:p>
        </w:tc>
        <w:tc>
          <w:tcPr>
            <w:tcW w:w="110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22195</w:t>
            </w: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22200</w:t>
            </w:r>
          </w:p>
        </w:tc>
        <w:tc>
          <w:tcPr>
            <w:tcW w:w="1134" w:type="dxa"/>
            <w:gridSpan w:val="2"/>
            <w:tcBorders>
              <w:top w:val="nil"/>
              <w:left w:val="nil"/>
              <w:bottom w:val="single" w:sz="4" w:space="0" w:color="000000"/>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22204</w:t>
            </w:r>
          </w:p>
        </w:tc>
      </w:tr>
      <w:tr w:rsidR="0045218E" w:rsidTr="00A43DC4">
        <w:tblPrEx>
          <w:tblCellMar>
            <w:top w:w="0" w:type="dxa"/>
            <w:bottom w:w="0" w:type="dxa"/>
          </w:tblCellMar>
        </w:tblPrEx>
        <w:trPr>
          <w:trHeight w:val="330"/>
          <w:jc w:val="center"/>
        </w:trPr>
        <w:tc>
          <w:tcPr>
            <w:tcW w:w="2830" w:type="dxa"/>
            <w:tcBorders>
              <w:top w:val="nil"/>
              <w:left w:val="single" w:sz="4" w:space="0" w:color="000000"/>
              <w:bottom w:val="single" w:sz="4" w:space="0" w:color="auto"/>
              <w:right w:val="single" w:sz="4" w:space="0" w:color="000000"/>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производство яиц</w:t>
            </w:r>
          </w:p>
        </w:tc>
        <w:tc>
          <w:tcPr>
            <w:tcW w:w="1113" w:type="dxa"/>
            <w:tcBorders>
              <w:top w:val="nil"/>
              <w:left w:val="nil"/>
              <w:bottom w:val="single" w:sz="4" w:space="0" w:color="auto"/>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тыс.штук</w:t>
            </w:r>
          </w:p>
        </w:tc>
        <w:tc>
          <w:tcPr>
            <w:tcW w:w="838" w:type="dxa"/>
            <w:tcBorders>
              <w:top w:val="nil"/>
              <w:left w:val="nil"/>
              <w:bottom w:val="single" w:sz="4" w:space="0" w:color="auto"/>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4055</w:t>
            </w:r>
          </w:p>
        </w:tc>
        <w:tc>
          <w:tcPr>
            <w:tcW w:w="1075" w:type="dxa"/>
            <w:tcBorders>
              <w:top w:val="nil"/>
              <w:left w:val="nil"/>
              <w:bottom w:val="single" w:sz="4" w:space="0" w:color="auto"/>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3774</w:t>
            </w:r>
          </w:p>
        </w:tc>
        <w:tc>
          <w:tcPr>
            <w:tcW w:w="850" w:type="dxa"/>
            <w:gridSpan w:val="2"/>
            <w:tcBorders>
              <w:top w:val="nil"/>
              <w:left w:val="nil"/>
              <w:bottom w:val="single" w:sz="4" w:space="0" w:color="auto"/>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3775</w:t>
            </w:r>
          </w:p>
        </w:tc>
        <w:tc>
          <w:tcPr>
            <w:tcW w:w="1104" w:type="dxa"/>
            <w:gridSpan w:val="2"/>
            <w:tcBorders>
              <w:top w:val="nil"/>
              <w:left w:val="nil"/>
              <w:bottom w:val="single" w:sz="4" w:space="0" w:color="auto"/>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3778</w:t>
            </w:r>
          </w:p>
        </w:tc>
        <w:tc>
          <w:tcPr>
            <w:tcW w:w="1134" w:type="dxa"/>
            <w:gridSpan w:val="2"/>
            <w:tcBorders>
              <w:top w:val="nil"/>
              <w:left w:val="nil"/>
              <w:bottom w:val="single" w:sz="4" w:space="0" w:color="auto"/>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3782</w:t>
            </w:r>
          </w:p>
        </w:tc>
        <w:tc>
          <w:tcPr>
            <w:tcW w:w="1134" w:type="dxa"/>
            <w:gridSpan w:val="2"/>
            <w:tcBorders>
              <w:top w:val="nil"/>
              <w:left w:val="nil"/>
              <w:bottom w:val="single" w:sz="4" w:space="0" w:color="auto"/>
              <w:right w:val="single" w:sz="4" w:space="0" w:color="000000"/>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3785</w:t>
            </w:r>
          </w:p>
        </w:tc>
      </w:tr>
      <w:tr w:rsidR="0045218E" w:rsidTr="00A43DC4">
        <w:tblPrEx>
          <w:tblCellMar>
            <w:top w:w="0" w:type="dxa"/>
            <w:bottom w:w="0" w:type="dxa"/>
          </w:tblCellMar>
        </w:tblPrEx>
        <w:trPr>
          <w:trHeight w:val="1281"/>
          <w:jc w:val="center"/>
        </w:trPr>
        <w:tc>
          <w:tcPr>
            <w:tcW w:w="2830"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Надой молока на одну корову (на среднегодовое поголовье) в крупных и средних сельскохозяйственных организациях</w:t>
            </w:r>
          </w:p>
        </w:tc>
        <w:tc>
          <w:tcPr>
            <w:tcW w:w="1113"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кг</w:t>
            </w:r>
          </w:p>
        </w:tc>
        <w:tc>
          <w:tcPr>
            <w:tcW w:w="838"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5176,88</w:t>
            </w:r>
          </w:p>
        </w:tc>
        <w:tc>
          <w:tcPr>
            <w:tcW w:w="1075" w:type="dxa"/>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5463,28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5463,6</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5467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5470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218E" w:rsidRDefault="0045218E">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5474</w:t>
            </w:r>
          </w:p>
        </w:tc>
      </w:tr>
    </w:tbl>
    <w:p w:rsidR="0045218E" w:rsidRDefault="0045218E">
      <w:pPr>
        <w:widowControl w:val="0"/>
        <w:autoSpaceDE w:val="0"/>
        <w:autoSpaceDN w:val="0"/>
        <w:adjustRightInd w:val="0"/>
        <w:spacing w:after="0" w:line="240" w:lineRule="auto"/>
        <w:ind w:right="520"/>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 Строительство</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Строительный комплекс Балахтинского района представлен организациями малого и среднего бизнеса, выполняющими общестроительные, санитарно- технические и электромонтажные, дорожные работы.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Тенденции развития строительного комплекса во многом определяются:</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отраслевой структурой капитальных вложений;</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сложившейся системой населенных пунктов и планами их развития, в том числе обеспеченностью населения жильем и объектами культурно- бытового назначения;</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особенностями района в транспортном отношении и возможностью расширения путей сообщения с другими муниципальными образованиями, развития транспортно-экономических связей;</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освоением природных ресурсов;</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реализацией инвестиционных проектов;</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развитием социальной, дорожной и инженерной инфраструктуры.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трудности район испытывает из-за отсутствия предприятий по производству строительных материалов и организаций выполняющих проектно-изыскательские работы.</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Снижение объема строительных работ в 2022 году наблюдается в связи, с общим спадом на фоне хозяйственного комплекса в целом по стране.</w:t>
      </w:r>
    </w:p>
    <w:p w:rsidR="0045218E" w:rsidRDefault="0045218E">
      <w:pPr>
        <w:autoSpaceDE w:val="0"/>
        <w:autoSpaceDN w:val="0"/>
        <w:adjustRightInd w:val="0"/>
        <w:spacing w:after="0" w:line="240" w:lineRule="auto"/>
        <w:ind w:firstLine="720"/>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Большая часть объектов, строящихся в районе, строится индивидуальными частными лицами и хозяйственным способом предприятиями, организациями и акционерными обществами.</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Приоритетными задачами в строительной отрасли района являются обеспечение стабильных темпов жилищного строительства, ввод в эксплуатацию объектов в установленные сроки, реализация мер по повышению доступности жилья и улучшению жилищных условий граждан.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2022 году, согласно базовому варианту прогноза, объем ввода жилых домов составит 3,5 тыс. кв. метров, к концу прогнозного периода повысится до 3,8 тыс. кв. метров. В расчете на одного жителя с 0,2 кв. метров по оценке 2022 года увеличится до 0,23 кв. метров в 2025 году.</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Развитию жилищного строительства в прогнозном периоде будут способствовать оказание государственной поддержки гражданам при приобретении жилья, улучшение жилищных условий отдельным категориям граждан в рамках реализации мероприятий государственной программы края «Создание условий для обеспечения доступным и комфортным жильем граждан Красноярского края».</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государственной поддержки при приобретении жилья с использованием ипотечных кредитов, социальные выплаты за счет средств краевого бюджета получат работники бюджетной сферы района, молодые семьи, отдельные категории ветеранов.</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исполнения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многодетным семьям района предоставляются земельные участки. Площадь предоставляемых земельных участков, частично обеспеченных коммунальной и транспортной инфраструктурой, для семей, имеющих трех и более детей, в сумме за 2022–2025 годы составит 4,5 га (по 1,5 га ежегодно).</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Показатель общей площади жилых домов, введенных в эксплуатацию за счет всех источников финансирования, приходящейся на 1 человека населения, рассчитан с учетом прогнозируемой численности населения и прогнозируемой общей площади жилых домов, введенных в эксплуатацию за счет всех источников финансирования.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p>
    <w:p w:rsidR="0045218E" w:rsidRDefault="0045218E">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Таблица 4. Обща площадь жилых домов, введенных в эксплуатацию, приходящихся на 1 жителя</w:t>
      </w:r>
    </w:p>
    <w:p w:rsidR="0045218E" w:rsidRDefault="0045218E">
      <w:pPr>
        <w:autoSpaceDE w:val="0"/>
        <w:autoSpaceDN w:val="0"/>
        <w:adjustRightInd w:val="0"/>
        <w:spacing w:after="0" w:line="240" w:lineRule="auto"/>
        <w:jc w:val="right"/>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476"/>
        <w:gridCol w:w="733"/>
        <w:gridCol w:w="685"/>
        <w:gridCol w:w="788"/>
        <w:gridCol w:w="870"/>
        <w:gridCol w:w="870"/>
        <w:gridCol w:w="870"/>
        <w:gridCol w:w="870"/>
        <w:gridCol w:w="870"/>
        <w:gridCol w:w="870"/>
      </w:tblGrid>
      <w:tr w:rsidR="0045218E" w:rsidTr="00A43DC4">
        <w:tblPrEx>
          <w:tblCellMar>
            <w:top w:w="0" w:type="dxa"/>
            <w:bottom w:w="0" w:type="dxa"/>
          </w:tblCellMar>
        </w:tblPrEx>
        <w:trPr>
          <w:trHeight w:val="543"/>
        </w:trPr>
        <w:tc>
          <w:tcPr>
            <w:tcW w:w="2093" w:type="dxa"/>
            <w:tcBorders>
              <w:top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both"/>
              <w:rPr>
                <w:rFonts w:ascii="Times New Roman CYR" w:hAnsi="Times New Roman CYR" w:cs="Times New Roman CYR"/>
                <w:sz w:val="20"/>
                <w:szCs w:val="20"/>
              </w:rPr>
            </w:pPr>
          </w:p>
        </w:tc>
        <w:tc>
          <w:tcPr>
            <w:tcW w:w="476"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both"/>
              <w:rPr>
                <w:rFonts w:ascii="Times New Roman CYR" w:hAnsi="Times New Roman CYR" w:cs="Times New Roman CYR"/>
                <w:sz w:val="20"/>
                <w:szCs w:val="20"/>
              </w:rPr>
            </w:pPr>
          </w:p>
        </w:tc>
        <w:tc>
          <w:tcPr>
            <w:tcW w:w="733"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2020г. отчет</w:t>
            </w:r>
          </w:p>
        </w:tc>
        <w:tc>
          <w:tcPr>
            <w:tcW w:w="685"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2021г отчет</w:t>
            </w:r>
          </w:p>
        </w:tc>
        <w:tc>
          <w:tcPr>
            <w:tcW w:w="788"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2022г оценка</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 xml:space="preserve">2023г. </w:t>
            </w: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 вариант</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 xml:space="preserve">2023г. </w:t>
            </w: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2 вариант</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 xml:space="preserve">2024г. </w:t>
            </w: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 вариант</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 xml:space="preserve">2024г. </w:t>
            </w: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2 вариант</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 xml:space="preserve">2025г. </w:t>
            </w: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 вариант</w:t>
            </w:r>
          </w:p>
        </w:tc>
        <w:tc>
          <w:tcPr>
            <w:tcW w:w="870" w:type="dxa"/>
            <w:tcBorders>
              <w:top w:val="single" w:sz="4" w:space="0" w:color="auto"/>
              <w:left w:val="single" w:sz="4" w:space="0" w:color="auto"/>
              <w:bottom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 xml:space="preserve">2025г. </w:t>
            </w: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2 вариант</w:t>
            </w:r>
          </w:p>
        </w:tc>
      </w:tr>
      <w:tr w:rsidR="0045218E" w:rsidTr="00A43DC4">
        <w:tblPrEx>
          <w:tblCellMar>
            <w:top w:w="0" w:type="dxa"/>
            <w:bottom w:w="0" w:type="dxa"/>
          </w:tblCellMar>
        </w:tblPrEx>
        <w:tc>
          <w:tcPr>
            <w:tcW w:w="2093" w:type="dxa"/>
            <w:tcBorders>
              <w:top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Численность населения</w:t>
            </w:r>
          </w:p>
        </w:tc>
        <w:tc>
          <w:tcPr>
            <w:tcW w:w="476"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733"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18119</w:t>
            </w:r>
          </w:p>
        </w:tc>
        <w:tc>
          <w:tcPr>
            <w:tcW w:w="685"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17909</w:t>
            </w:r>
          </w:p>
        </w:tc>
        <w:tc>
          <w:tcPr>
            <w:tcW w:w="788"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17613</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17323</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17327</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17043</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17049</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16774</w:t>
            </w:r>
          </w:p>
        </w:tc>
        <w:tc>
          <w:tcPr>
            <w:tcW w:w="870" w:type="dxa"/>
            <w:tcBorders>
              <w:top w:val="single" w:sz="4" w:space="0" w:color="auto"/>
              <w:left w:val="single" w:sz="4" w:space="0" w:color="auto"/>
              <w:bottom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p>
          <w:p w:rsidR="0045218E" w:rsidRDefault="0045218E">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16780</w:t>
            </w:r>
          </w:p>
        </w:tc>
      </w:tr>
      <w:tr w:rsidR="0045218E" w:rsidTr="00A43DC4">
        <w:tblPrEx>
          <w:tblCellMar>
            <w:top w:w="0" w:type="dxa"/>
            <w:bottom w:w="0" w:type="dxa"/>
          </w:tblCellMar>
        </w:tblPrEx>
        <w:tc>
          <w:tcPr>
            <w:tcW w:w="2093" w:type="dxa"/>
            <w:tcBorders>
              <w:top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Общая площадь жилых домов, введенных в эксплуатацию за счет всех источников финансирования</w:t>
            </w:r>
          </w:p>
        </w:tc>
        <w:tc>
          <w:tcPr>
            <w:tcW w:w="476"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кв.м</w:t>
            </w:r>
          </w:p>
        </w:tc>
        <w:tc>
          <w:tcPr>
            <w:tcW w:w="733"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4445</w:t>
            </w:r>
          </w:p>
        </w:tc>
        <w:tc>
          <w:tcPr>
            <w:tcW w:w="685"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3939</w:t>
            </w:r>
          </w:p>
        </w:tc>
        <w:tc>
          <w:tcPr>
            <w:tcW w:w="788"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3500</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3500</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3600</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3600</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3700</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3700</w:t>
            </w:r>
          </w:p>
        </w:tc>
        <w:tc>
          <w:tcPr>
            <w:tcW w:w="870" w:type="dxa"/>
            <w:tcBorders>
              <w:top w:val="single" w:sz="4" w:space="0" w:color="auto"/>
              <w:left w:val="single" w:sz="4" w:space="0" w:color="auto"/>
              <w:bottom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3800</w:t>
            </w:r>
          </w:p>
        </w:tc>
      </w:tr>
      <w:tr w:rsidR="0045218E" w:rsidTr="00A43DC4">
        <w:tblPrEx>
          <w:tblCellMar>
            <w:top w:w="0" w:type="dxa"/>
            <w:bottom w:w="0" w:type="dxa"/>
          </w:tblCellMar>
        </w:tblPrEx>
        <w:tc>
          <w:tcPr>
            <w:tcW w:w="2093" w:type="dxa"/>
            <w:tcBorders>
              <w:top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Общая площадь жилых домов, введенных в эксплуатацию за счет всех источников финансирования, приходящихся на 1 человека населения</w:t>
            </w:r>
          </w:p>
        </w:tc>
        <w:tc>
          <w:tcPr>
            <w:tcW w:w="476"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кв.м</w:t>
            </w:r>
          </w:p>
        </w:tc>
        <w:tc>
          <w:tcPr>
            <w:tcW w:w="733"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685"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0,22</w:t>
            </w:r>
          </w:p>
        </w:tc>
        <w:tc>
          <w:tcPr>
            <w:tcW w:w="788"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0,21</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0,21</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0,22</w:t>
            </w:r>
          </w:p>
        </w:tc>
        <w:tc>
          <w:tcPr>
            <w:tcW w:w="870" w:type="dxa"/>
            <w:tcBorders>
              <w:top w:val="single" w:sz="4" w:space="0" w:color="auto"/>
              <w:left w:val="single" w:sz="4" w:space="0" w:color="auto"/>
              <w:bottom w:val="single" w:sz="4" w:space="0" w:color="auto"/>
              <w:right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0,22</w:t>
            </w:r>
          </w:p>
        </w:tc>
        <w:tc>
          <w:tcPr>
            <w:tcW w:w="870" w:type="dxa"/>
            <w:tcBorders>
              <w:top w:val="single" w:sz="4" w:space="0" w:color="auto"/>
              <w:left w:val="single" w:sz="4" w:space="0" w:color="auto"/>
              <w:bottom w:val="single" w:sz="4" w:space="0" w:color="auto"/>
            </w:tcBorders>
          </w:tcPr>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p>
          <w:p w:rsidR="0045218E" w:rsidRDefault="0045218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0,23</w:t>
            </w:r>
          </w:p>
        </w:tc>
      </w:tr>
    </w:tbl>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4.1. Жилищное строительство</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2020 году ввод в эксплуатацию жилых домов за счет всех источников финансирования, согласно учета администрации Балахтинского района, составил 4445,0 кв.м (120,4% к уровню 2019 года), в 2021 году – 3939,0 кв.м, согласно данных Крайстата (88,6% к уровню 2020 года), оценка 2022 года – 3500,0 кв. м, план в 2023 году – 3600,0 кв.м, план 2024 года – 3700,0 кв.м, план в 2025 году – 3800,0 кв.м.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Планируемый ввод жилья в 2023-2025гг рассчитан с учетом количества выданных разрешений на строительство и информации о фактически строящихся жилых домов.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2023 году за счет средств краевого бюджета планируется ввести в эксплуатацию 20-и квартирный жилой дом в пгт. Балахта, общей площадью 1554,0 кв.м.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8"/>
          <w:szCs w:val="28"/>
        </w:rPr>
        <w:t>В 2022 году планируется ввести в эксплуатацию 2200,0 кв.м общей площади жилых домов, строящихся за счет собственных средств юридическими лицами (24-х квартирный жилой дом в пгт. Балахта, общей площадью 2013,0 кв.м и 2-х квартирный жилой дом в с. Тюльково, общей площадью 195,0 кв.м)</w:t>
      </w: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5. Инвестиции</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20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Одним из показателей, характеризующих развитие экономики муниципального образования, является показатель инвестиционной активности – объем инвестиций в основной капитал. Балахтинский район имеет перспективу и огромный ресурс для развития, являясь привлекательным для вложения инвестиций.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2021 году инвестиции в основной капитал за счет всех источников финансирования составили 989,14 млн.руб., что составляет 85,07% в сопоставимых ценах к уровню 2020 года. Одной из причин снижения инвестиций объясняется тем, что в 2020 году для субъектов экономики Балахтинского района стало привлекательным льготное кредитование бизнеса, что способствовало увеличению инвестиционной активности, в частности стимулировало к приобретению техники и нового оборудования для производств. Предприятия агропромышленного комплекса обновляли парк сельскохозяйственной техники. На перспективу в 2022-2025 годов планируется незначительный рост.</w:t>
      </w:r>
    </w:p>
    <w:p w:rsidR="0045218E" w:rsidRDefault="0045218E">
      <w:pPr>
        <w:autoSpaceDE w:val="0"/>
        <w:autoSpaceDN w:val="0"/>
        <w:adjustRightInd w:val="0"/>
        <w:spacing w:after="20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В 2021 году инвестиции в основной капитал за счет всех источников финансирования составили 665,8 млн. руб. (увеличение показателя на 5,97% к уровню 2020 года). </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структуре видов экономической деятельности в 2021 году наибольший удельный вес (49,43 %) приходится на раздел А «Сельское, лесное хозяйство, охота, рыболовство и рыбоводство». Объем инвестиций составил 329 097,0 тыс. рублей (2020 год – 325 563,0 тыс. рублей или 94,1 % в сопоставимых ценах).</w:t>
      </w:r>
    </w:p>
    <w:p w:rsidR="0045218E" w:rsidRDefault="0045218E">
      <w:pPr>
        <w:autoSpaceDE w:val="0"/>
        <w:autoSpaceDN w:val="0"/>
        <w:adjustRightInd w:val="0"/>
        <w:spacing w:after="200" w:line="240" w:lineRule="auto"/>
        <w:ind w:firstLine="56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По разделу E: Водоснабжение; водоотведение, организация сбора и утилизация отходов, деятельность по ликвидации загрязнений вложений инвестиций в основной капитал предприятиями данного вида деятельности (ООО «БСК», ООО «ЖКХ «Приморье» и ГПКК «ЦРКК») в 2021 году не было.  </w:t>
      </w:r>
    </w:p>
    <w:p w:rsidR="0045218E" w:rsidRDefault="0045218E">
      <w:pPr>
        <w:autoSpaceDE w:val="0"/>
        <w:autoSpaceDN w:val="0"/>
        <w:adjustRightInd w:val="0"/>
        <w:spacing w:after="200" w:line="240" w:lineRule="auto"/>
        <w:ind w:firstLine="56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По Разделу P: «Образование» в 2020 году объем инвестиций составлял 37 410,0 тыс.руб., а в 2021 отчетном году составил 19 827,0 тыс.руб. (49,3% в сопоставимых ценах). Значительное снижение связано с тем, что в 2020 году был выполнен большой объем ремонтных работ с затратными вложениями.</w:t>
      </w:r>
    </w:p>
    <w:p w:rsidR="0045218E" w:rsidRDefault="0045218E">
      <w:pPr>
        <w:autoSpaceDE w:val="0"/>
        <w:autoSpaceDN w:val="0"/>
        <w:adjustRightInd w:val="0"/>
        <w:spacing w:after="200" w:line="240" w:lineRule="auto"/>
        <w:ind w:firstLine="56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По разделу R: Деятельность в области культуры, спорта, организации досуга и развлечений объем инвестиций в отчетном году составил 4,93 млн.руб, что незначительно ниже уровня 2020 года на 1,08%. </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На предприятиях раздела B: «Добыча полезных ископаемых» в частности ООО «Сибуголь», осуществляющем добычу бурого угля на территории Большесырского сельсовета объем инвестиционных вложений в основной капитал составил 186 000,0 тыс.руб. (2020 год – 149 805,0 тыс.руб. или 115,6% в сопоставимых ценах). Число инвестиций возросло в связи с вложениями в приобретение оборудования. </w:t>
      </w:r>
    </w:p>
    <w:p w:rsidR="0045218E" w:rsidRDefault="0045218E">
      <w:pPr>
        <w:autoSpaceDE w:val="0"/>
        <w:autoSpaceDN w:val="0"/>
        <w:adjustRightInd w:val="0"/>
        <w:spacing w:after="200" w:line="240" w:lineRule="auto"/>
        <w:ind w:firstLine="56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По разделу D: Обеспечение электрической энергией, газом и паром; кондиционирование воздуха объем инвестиций составил 20,4 млн.руб., что незначительно выше показателя 2020 года, на 0,15%. Работа предприятий этой отрасли стабилизировалась в сравнении с 2018 годом, когда ООО «ЖКХ Приморье» проходило процедуру банкротства и АО «Санаторий «Красноярское Загорье» не вкладывал инвестиции.  </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По разделу Q: Деятельность в области здравоохранения и социальных услуг - объем инвестиций в отчетном году составил 21 722,0 тыс.руб., что составляет 171,9% в сопоставимых ценах к уровню 2020 года (11 766,0 тыс.руб.). Основной рост связан с вложением финансовых средств в оснащение медицинским оборудованием госпиталя для больных COVID-19 в Балахтинской районной больнице, установлен и оснащен модульный ФАП в д.Малая Тумна, приобретен автомобиль для нужд районной больницы. Также рост связан с покупкой медицинского оборудования для учреждений здравоохранения района и оборудование для прачечной; </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Раздел М «Деятельность профессиональная, научная и техническая» объём инвестиций составил 23 019,0 тыс. рублей (2020 год – 17 758,0 тыс. рублей, 120,7% в сопоставимых ценах);</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По разделу G «Торговля оптовая и розничная, ремонт автотранспортных средств и мотоциклов» объем инвестиций составил 11194,0 тыс.руб., что значительно выше показателя 2020 года (695,0 тыс.руб.). Рост связан с вложениями крупных торговых сетей, осуществляющих деятельность в п.г.т.Балахта («Светофор», «Хороший»), но не зарегистрированные на территории района;</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Объем инвестиций по разделу «Государственное управление и обеспечение военной безопасности, социальное обеспечение» составил 9460,0 тыс.руб., что составляет 183,6% в сопоставимых ценах к уровню 2020 года (4 798,0 тыс.руб.). </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Также свои инвестиции в основной капитал сократило предприятие АО «Балахтинское ДРСУ», осуществляющее строительство и ремонт автомобильных дорог по разделу F «Строительство». Объем инвестиционных вложений составил в 2021 году 37 795,0 тыс.руб., что составляет 70,3% к уровню прошлого отчетного года (2020 год – 50 083,0 тыс.руб.). Снижение произошло в связи с большим объемом вложений в 2020 г. </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Объем инвестиций (бюджетные средства) в отчетном году составил 62,5 млн.руб. (что выше уровня прошлого года на 6,8%). В 2021 году объем бюджетных инвестиций сложился во всех социальных сферах района, в том числе: </w:t>
      </w:r>
    </w:p>
    <w:p w:rsidR="0045218E" w:rsidRDefault="0045218E">
      <w:pPr>
        <w:autoSpaceDE w:val="0"/>
        <w:autoSpaceDN w:val="0"/>
        <w:adjustRightInd w:val="0"/>
        <w:spacing w:line="252"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в образовательной отрасли осуществлялся ремонт образовательных учреждений на сумму 8,6 млн.руб., в том числе ремонт кровель Ровненской школы и детской спортивной школы в п.Балахта, а также ремонт внутренних помещений, также была разработана проектно-сметная документация на ремонт Кожановской школы; было приобретено игровое, учебное оборудование, оргтехника для внедрения модели цифровой образовательной среды на сумму 10,4 млн.руб. </w:t>
      </w:r>
    </w:p>
    <w:p w:rsidR="0045218E" w:rsidRDefault="0045218E">
      <w:pPr>
        <w:autoSpaceDE w:val="0"/>
        <w:autoSpaceDN w:val="0"/>
        <w:adjustRightInd w:val="0"/>
        <w:spacing w:line="252"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в отрасли культуры осуществлялся ремонт МБУК ЦКС, обновлены книжные фонды и материально – техническая база библиотек и учреждений культуры (4,1 млн.руб).</w:t>
      </w:r>
    </w:p>
    <w:p w:rsidR="0045218E" w:rsidRDefault="0045218E">
      <w:pPr>
        <w:autoSpaceDE w:val="0"/>
        <w:autoSpaceDN w:val="0"/>
        <w:adjustRightInd w:val="0"/>
        <w:spacing w:line="252"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с целью развития физической культуры и спорта было приобретено игровое и спортивное оборудование на сумму 5,6 млн.руб., на организацию туристско – рекреационной зоны 2,0 млн.руб.  </w:t>
      </w:r>
    </w:p>
    <w:p w:rsidR="0045218E" w:rsidRDefault="0045218E">
      <w:pPr>
        <w:autoSpaceDE w:val="0"/>
        <w:autoSpaceDN w:val="0"/>
        <w:adjustRightInd w:val="0"/>
        <w:spacing w:line="252"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финансировались мероприятия в сфере жилищно-коммунального хозяйства, в частности приобреталось оборудование для очистки воды в п.Балахта (7,8 млн.руб.), капитальный ремонт водонапорных башен (4,6 млн.руб.), по безопасности дорожного движения и противопожарной защите (0,3 млн.руб.). </w:t>
      </w:r>
    </w:p>
    <w:p w:rsidR="0045218E" w:rsidRDefault="0045218E">
      <w:pPr>
        <w:autoSpaceDE w:val="0"/>
        <w:autoSpaceDN w:val="0"/>
        <w:adjustRightInd w:val="0"/>
        <w:spacing w:line="252"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В 2021 году также было затрачено 4,5 млн.руб. по программе поддержки местных инициатив, а также в рамках поощрения муниципальных образований района выплачено 6,6 млн.руб. на проекты создания комфортной городской среды и развитие сельских территорий, приобретено жилье детям – сиротам на сумму 2,3 млн.руб. Затраты на общегосударственные расходы составили 3,8 млн.руб. </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2022-2024 годах из средств краевого бюджета планируется финансирование на строительство объектов и реконструкцию, в том числе:</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строительство 20-квартирного жилого дома в п.г.т.Балахта (2022 год – 33 400,5 тыс. рублей, 2023 год – 62 234,0 тыс. рублей);</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строительство школы на 400 учащихся в п.г.т.Балахта (2023 год – 10000,0 тыс.руб.);</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строительство врачебной амбулатории в п.Чистое Поле (2022 год – 39317,3 тыс.руб.;</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строительство врачебной амбулатории в п.Приморск (2024 год – 55000,0 тыс.руб., в том числе за счет средств федерального бюджета - 31985,1 тыс.руб., краевого бюджета – 23014,9 тыс.руб.);</w:t>
      </w:r>
      <w:r>
        <w:rPr>
          <w:rFonts w:ascii="Times New Roman CYR" w:hAnsi="Times New Roman CYR" w:cs="Times New Roman CYR"/>
          <w:sz w:val="28"/>
          <w:szCs w:val="28"/>
          <w:highlight w:val="white"/>
        </w:rPr>
        <w:tab/>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реконструкция главного корпуса КГБУЗ «Балахтинская районная больница» (2022 год – 17400,0 тыс.руб.).</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2022 году объем планируемых бюджетных инвестиций составит 179,9 млн.руб., как и в предыдущие годы, работа будет направлена на поддержание жизнедеятельности, улучшение материальной обеспеченности учреждений социальной сферы, в целях развития транспортной, инженерной, инфраструктуры, способной повысить комфортность проживания на территории района. В частности, за счет средств краевого и районного бюджетов планируется:</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в рамках реализации муниципального комплексного проекта развития «Приморск - Балахта» будет осуществлен ремонт автомобильной дороги в п.Приморск на сумму 45,4 млн.руб.; </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больших вложений потребует реализация мероприятий по переселению граждан из аварийного жилищного фонда – 49,9 млн.руб. (п.Балахта, п.Чистое Поле) по государственной программе края «Создание условий для обеспечения доступным и комфортным жильем граждан». В рамках данной программы также планируется приобретение жилья детям – сиротам на общую сумму 43,4 млн.руб.;</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вложения в объекты таких бюджетных сфер, как образование (11,3 млн.руб.), культура и спорт (2,8 млн.руб.) в рамках государственных программ края «Развитие образования», «Развитие культуры и туризма», «Содействие развитию местного самоуправления». </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в целях улучшения качества оказания жилищно-коммунальных услуг, в рамках муниципального комплексного проекта развития «Приморск - Балахта»    планируются затраты в размере 22,7 млн.руб., а также мероприятия в рамках государственной программы края «Реформирование и модернизация ЖКХ», в том числе: капитальный ремонт водонапорных башен в с.Большие Сыры, с.Еловка, п.Чистые Пруды, д.Таловая, д.Тойлук, д.Холодный Ключ (15,7 млн.руб.), капитальный ремонт КНС в п.Балахта (2,4 млн.руб.), капитальный ремонт водонапорных сетей в с.Ровное (545,5 тыс.руб.). </w:t>
      </w:r>
    </w:p>
    <w:p w:rsidR="0045218E" w:rsidRDefault="0045218E">
      <w:pPr>
        <w:autoSpaceDE w:val="0"/>
        <w:autoSpaceDN w:val="0"/>
        <w:adjustRightInd w:val="0"/>
        <w:spacing w:line="252"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Рост 2023 – 2025 гг. наряду с вложениями инвестиций в объекты социальной сферы, обусловлен также планируемыми перспективами вложения внебюджетных инвестиций, таких как строительство кафе и детского игрового центра в п.г.т.Балахта.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По анализу последних трех лет объем инвестиций без учета бюджетных средств на одного жителя района имеет неоднозначный характер. Так в 2019 году уменьшился на 11,6% и составил 9 751,87 рублей, в 2020 году показатель составил 34 226,45 рублей. Что касается 2021 года, произошло незначительные увеличение. Объем инвестиций в расчете на одного жителя в отчетном году составил 33 687,92 рубля.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p>
    <w:p w:rsidR="0045218E" w:rsidRPr="00A43DC4" w:rsidRDefault="0045218E" w:rsidP="00A43DC4">
      <w:pPr>
        <w:autoSpaceDE w:val="0"/>
        <w:autoSpaceDN w:val="0"/>
        <w:adjustRightInd w:val="0"/>
        <w:spacing w:after="200" w:line="240" w:lineRule="auto"/>
        <w:ind w:firstLine="708"/>
        <w:jc w:val="both"/>
        <w:rPr>
          <w:rFonts w:ascii="Times New Roman CYR" w:hAnsi="Times New Roman CYR" w:cs="Times New Roman CYR"/>
          <w:color w:val="FF0000"/>
          <w:sz w:val="28"/>
          <w:szCs w:val="28"/>
          <w:highlight w:val="white"/>
        </w:rPr>
      </w:pPr>
      <w:r>
        <w:rPr>
          <w:rFonts w:ascii="Times New Roman CYR" w:hAnsi="Times New Roman CYR" w:cs="Times New Roman CYR"/>
          <w:sz w:val="28"/>
          <w:szCs w:val="28"/>
          <w:highlight w:val="white"/>
        </w:rPr>
        <w:t xml:space="preserve">В районе реализуется инвестиционный проект с 2013 года динамично развивающегося предприятия ООО «Малтат» «Организация полносистемного рыбоводного комплекса (ПРК) в п.Приморск Красноярского края», который планирует реализацию до 2024 года. ООО «Малтат» планирует реализовать новые инвестиционные проекты, направленные на развитие товарной аквакультуры (рыборазведение) и рыбоперерабатывающего производства, т.е. выращивание ценных видов рыб лососевых и осетровых пород; организация рыбоводного производства полного цикла; строительство завода по переработке рыбы с использованием современного высокотехнологичного оборудования. Данный инвестиционный проект войдет в муниципальный комплексный проект развития «Приморск - Балахта», наряду с другим инвестиционным проектом, совместно развивая экономику Балахтинского района. </w:t>
      </w: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6. Транспорт и связь</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Транспорт</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Протяженность автомобильных дорог общего пользования на территории района составляет 510,1 км. </w:t>
      </w:r>
    </w:p>
    <w:p w:rsidR="0045218E" w:rsidRDefault="0045218E">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Протяженность автомобильных дорог общего пользования местного значения составляет 266,6 км, в т. ч. с твердым покрытием – 229,1 км. Протяженность улично-дорожной сети сельских поселений с усовершенствованным типом покрытия – 33 км. Протяженность дорог, не отвечающих нормативным требованиям – 114,9 км.  В целях уточнения данных по транспортно-эксплуатационному состоянию автомобильных дорог местного значения Балахтинского района и искусственных сооружений на них, а также технических средств организации дорожного движения в 2019 году была проведена инвентаризация автомобильных дорог.</w:t>
      </w:r>
    </w:p>
    <w:p w:rsidR="0045218E" w:rsidRDefault="0045218E">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приведения в нормативное состояние автомобильных дорог, ежегодно проводятся капитальные и текущие ремонты, посредством участия в краевых программах, работу в этом направлении планируется продолжить. В 2022 году использован новый инструмент улучшения качества дорог, такой как разработанный, утвержденный и уже частично реализованный муниципальный комплексный проект развития. В текущем году в рамках проекта уже удалось капитально отремонтировать чуть более 2 километров дорог местного значения в п.Приморск. В 2023 планируется осуществить ремонт 1,5 км.дорог в п.Балахта. </w:t>
      </w:r>
    </w:p>
    <w:p w:rsidR="0045218E" w:rsidRDefault="0045218E">
      <w:pPr>
        <w:autoSpaceDE w:val="0"/>
        <w:autoSpaceDN w:val="0"/>
        <w:adjustRightInd w:val="0"/>
        <w:spacing w:after="0" w:line="240" w:lineRule="auto"/>
        <w:ind w:firstLine="851"/>
        <w:jc w:val="both"/>
        <w:rPr>
          <w:rFonts w:ascii="Times New Roman CYR" w:hAnsi="Times New Roman CYR" w:cs="Times New Roman CYR"/>
          <w:color w:val="FF0000"/>
          <w:sz w:val="28"/>
          <w:szCs w:val="28"/>
        </w:rPr>
      </w:pPr>
      <w:r>
        <w:rPr>
          <w:rFonts w:ascii="Times New Roman CYR" w:hAnsi="Times New Roman CYR" w:cs="Times New Roman CYR"/>
          <w:sz w:val="28"/>
          <w:szCs w:val="28"/>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85,9%.</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Протяженность дорог с асфальтобетонным покрытием – 33 км, что составляет 12,4% от общей протяженности дорог (п.Балахта, с.Кожаны, п.Приморск), с переходным типом (ЩПС, ГПС, ц/б) – 194,28 км, грунтовых автомобильных дорог местного значения – 38,53 км. во всех населенных пунктах. </w:t>
      </w:r>
    </w:p>
    <w:p w:rsidR="0045218E" w:rsidRDefault="0045218E">
      <w:pPr>
        <w:autoSpaceDE w:val="0"/>
        <w:autoSpaceDN w:val="0"/>
        <w:adjustRightInd w:val="0"/>
        <w:spacing w:after="0" w:line="240" w:lineRule="auto"/>
        <w:ind w:firstLine="720"/>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Объем перевозок пассажиров всеми видами транспорта составил в 2021 году – 241,271 тыс.чел. В 2020 году было перевезено 242,192 тысяч человек. Снижение по показателю составило 0,38% в связи с тем, что в районе имеется тенденция ежегодного снижения численности населения, улучшение качества услуг такси, что привлекательно для жителей, а также приобретение населением района личного автотранспорта. </w:t>
      </w:r>
    </w:p>
    <w:p w:rsidR="0045218E" w:rsidRDefault="0045218E">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районе по состоянию на 1 января 2022 года осуществляет пассажирские перевозки Балахтинский филиал АО «Краевое АТП». С предприятием были заключены муниципальные контракты на выполнение работ, связанных с осуществлением регулярных перевозок пассажиров и багажа автомобильным транспортом до конца 2024 года по 16 маршрутам. </w:t>
      </w:r>
    </w:p>
    <w:p w:rsidR="0045218E" w:rsidRDefault="0045218E">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Расчет доходов, полученных перевозчиками на 2021 год произведен из предельного тарифа на городские пассажирские автомобильные перевозки - 23 рубля, пригородные пассажирские перевозки 2,25 рублей, междугородные (внутрирайонные) – 2,94 рубля. На прогнозные годы программой пассажирских перевозок предусмотрено увеличение тарифа, как по городским, так и по пригородным и междугородним (внутрирайонным) маршрутам. </w:t>
      </w:r>
    </w:p>
    <w:p w:rsidR="0045218E" w:rsidRDefault="0045218E">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Грузовые перевозки на территории района осуществляют ООО «Сибугольтранс», МБУ «Трансавто», индивидуальные предприниматели. Основной объем грузовых перевозок составляет перевозка угля, что около трех миллионов тонн в 2021 году. </w:t>
      </w:r>
    </w:p>
    <w:p w:rsidR="0045218E" w:rsidRDefault="0045218E">
      <w:pPr>
        <w:tabs>
          <w:tab w:val="left" w:pos="851"/>
        </w:tabs>
        <w:autoSpaceDE w:val="0"/>
        <w:autoSpaceDN w:val="0"/>
        <w:adjustRightInd w:val="0"/>
        <w:spacing w:after="0" w:line="240" w:lineRule="auto"/>
        <w:ind w:firstLine="709"/>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Планируется увеличение в плановом периоде. Прогноз 2022 года и план 2023-2025 по показателю объема грузовых перевозок планируется увеличение, в связи с тем, что ООО «Сибуголь» увеличивает объемы добычи и соответственно реализации угля, что потребует большего количества грузовых перевозок.   </w:t>
      </w:r>
      <w:r>
        <w:rPr>
          <w:rFonts w:ascii="Times New Roman CYR" w:hAnsi="Times New Roman CYR" w:cs="Times New Roman CYR"/>
          <w:sz w:val="28"/>
          <w:szCs w:val="28"/>
        </w:rPr>
        <w:tab/>
      </w:r>
    </w:p>
    <w:p w:rsidR="0045218E" w:rsidRDefault="0045218E">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районе имеется паромная переправа на автомобильных дорогах местного значения, по которой пассажирские перевозки водным транспортом осуществляет АО «ПассажирРечТранс» по маршруту Даурск - Черемушки. Объем пассажирских перевозок водным транспортом в 2021 году в районе составляет 8,56 тыс.чел. Показатель ниже 2020 на 3,2%. Бесперебойную работу паромной переправы осуществляет теплоход «Копьево» и Паром – 17, на весенне-осенней период судно на воздушной подушке «Арктика-10».               </w:t>
      </w:r>
    </w:p>
    <w:p w:rsidR="0045218E" w:rsidRDefault="0045218E">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Расчет доходов, полученных перевозчиками на 2021 год произведен из предельного тарифа на перевозку пассажиров – 14,5 рублей, на перевозку грузов - 194 рубля за тонну. </w:t>
      </w:r>
    </w:p>
    <w:p w:rsidR="0045218E" w:rsidRDefault="0045218E">
      <w:pPr>
        <w:tabs>
          <w:tab w:val="left" w:pos="72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Пассажирооборот всех видов транспорта в 2021 году составил 5,84 млн.пасс-км. </w:t>
      </w:r>
    </w:p>
    <w:p w:rsidR="0045218E" w:rsidRDefault="0045218E">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населения, проживающего в населенных пунктах, имеющих регулярное автобусное сообщение в 2021 году составило 16,34 тыс.чел. Соответственно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в 2021 году составила 8,76%. На прогнозируемые годы 2022 г. - 8,74 %, 2023 г. - 8,72%, 2024 г. - 8,70%. Снижение показателя связано с тем, что население района на прогнозные годы имеет тенденцию к уменьшению.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p>
    <w:p w:rsidR="0045218E" w:rsidRDefault="0045218E">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всего периода до 2030 года, согласно утвержденной Стратегии социально-экономического развития планируется принимать участие в краевых программах по ремонту и содержанию автомобильных дорог в районе:</w:t>
      </w:r>
    </w:p>
    <w:p w:rsidR="0045218E" w:rsidRDefault="0045218E">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развитие транспортной инфраструктуры района путем капитального ремонта и ремонта сети, муниципальных дорог за счет средств краевого бюджета, а также посредством реализации проекта разработки карьера, суть которого заключается в геологическом изучении, разведки и добычи песчано-гравийных пород на проявлении Жура, располагающихся в 11 км. юго-западнее п. Балахта, с прогнозными ресурсами 2214 тыс. м3. Реализация данного проекта позволит организовать работы по ремонту и содержанию дорог в плановом режиме;</w:t>
      </w:r>
    </w:p>
    <w:p w:rsidR="0045218E" w:rsidRDefault="0045218E">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повышение качества и долговечности дорожных покрытий путем стимулирования внедрения новых эффективных технологий дорожного строительства;</w:t>
      </w:r>
    </w:p>
    <w:p w:rsidR="0045218E" w:rsidRDefault="0045218E">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w:t>
      </w:r>
    </w:p>
    <w:p w:rsidR="0045218E" w:rsidRDefault="0045218E">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гарантированной транспортной доступности территорий района путем сохранения гарантирующих поставщиков транспортных услуг, обеспечивающих выполнение социально-значимых перевозок, а также субсидирования перевозок из средств бюджета.</w:t>
      </w:r>
    </w:p>
    <w:p w:rsidR="0045218E" w:rsidRDefault="0045218E">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видом транспорта в районе является автомобильный. Вследствие того, что значительная часть района расположена на правом берегу Красноярского водохранилища, большое значение для экономики района имеет развитие водного транспорта. </w:t>
      </w:r>
    </w:p>
    <w:p w:rsidR="0045218E" w:rsidRDefault="0045218E">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 обеспечивающих выполнение социально-значимых перевозок, а также субсидирования перевозок из средств бюджета.</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p>
    <w:p w:rsidR="0045218E" w:rsidRDefault="0045218E">
      <w:pPr>
        <w:autoSpaceDE w:val="0"/>
        <w:autoSpaceDN w:val="0"/>
        <w:adjustRightInd w:val="0"/>
        <w:spacing w:after="0" w:line="240" w:lineRule="auto"/>
        <w:ind w:firstLine="708"/>
        <w:rPr>
          <w:rFonts w:ascii="Times New Roman CYR" w:hAnsi="Times New Roman CYR" w:cs="Times New Roman CYR"/>
          <w:b/>
          <w:bCs/>
          <w:sz w:val="28"/>
          <w:szCs w:val="28"/>
        </w:rPr>
      </w:pPr>
      <w:r>
        <w:rPr>
          <w:rFonts w:ascii="Times New Roman CYR" w:hAnsi="Times New Roman CYR" w:cs="Times New Roman CYR"/>
          <w:b/>
          <w:bCs/>
          <w:sz w:val="28"/>
          <w:szCs w:val="28"/>
        </w:rPr>
        <w:t>Информатизация и связь</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18"/>
          <w:szCs w:val="18"/>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Информационно-коммуникационный комплекс является важным инфраструктурным элементом современного общества. 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в реальном секторе экономики, в конечном счете - к становлению современного информационного общества.</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Балахтинского района основным фактором, препятствующим интеграции в глобальное информационное общество, является цифровое неравенство территорий, выражающееся в резком сокращении количества доступных телекоммуникационных услуг по мере удаления от п.Балахта при значительном росте их удельной стоимости и снижении качества. Сегодня в районе 3,47% населения не обеспечено услугами сотовой связи (это 11 населенных пунктов и 627 жителей), 15,3% жителей проживают в населенных пунктах с неустойчивой связью.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 каждым годом растет объем информации, появляются современные средства, методы, технологии обработки и восприятия этой информации. Это свидетельствует о том, что процесс внедрения в общество информационных технологий будет постоянно продолжаться и совершенствоваться. В связи с этим Балахтинский район в 2019 году стал участником мероприятия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в рамках которого в 2020 году на территории с.Грузенка будет оказана услуга по предоставлению доступа к услугам сотовой связи, в отчетном 2021 году жители с.Петропавловка получили возможность пользоваться услугами сотовой связи и мобильного интернета. На перспективу в 2022 году участниками программы станут жители п.Щетинкина (сотовая связь и мобильный интернет) и с.Огур (мобильный инетрнет). К 2024 году удастся снизить процент необеспеченных жителей услугами сотовой связи на 0,94% (или почти 500 жителей).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рамках федерального проекта «Информационная инфраструктура» национальной программы «Цифровая экономика 2024» в 2021 году закончилась работа по подключению к сети Интернет объектов социальной сферы, в том числе общеобразовательные школы, фельдшерско-акушерские пункты, пожарные части и др. За весь период реализации проекта на территории подключен 71 социально значимый объект. </w:t>
      </w:r>
    </w:p>
    <w:p w:rsidR="0045218E" w:rsidRDefault="0045218E">
      <w:pPr>
        <w:autoSpaceDE w:val="0"/>
        <w:autoSpaceDN w:val="0"/>
        <w:adjustRightInd w:val="0"/>
        <w:spacing w:after="0" w:line="240" w:lineRule="auto"/>
        <w:ind w:firstLine="708"/>
        <w:jc w:val="both"/>
        <w:rPr>
          <w:rFonts w:ascii="Calibri" w:hAnsi="Calibri" w:cs="Calibri"/>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Связь на территории района осуществляют:</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телефонную - Филиал ПАО «Ростелеком»;</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почтовую – отделение почтовой связи Балахта Шарыповского почтампта УФПС Красноярского края - Филиал Федеральной государственной почтовой связи «Почта России». На территории района 13 стационарных отделений почтовой связи.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2021 году сотовую связь в районе осуществляли операторы: Теле-2, МТС, Билайн, Мегафон, Yota.</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7. Малое и среднее предпринимательство</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rsidP="00A43DC4">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Малое предпринимательство</w:t>
      </w:r>
    </w:p>
    <w:p w:rsidR="0045218E" w:rsidRDefault="0045218E">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45218E" w:rsidRDefault="0045218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территории Балахтинского района по состоянию на 1 января 2021 года зарегистрировано 78 юридических лиц, из них 3 предприятия с численность работающих более 100 человек (средние предприятия), 75 малые и микропредприятия. Сельское хозяйство занимает ведущее место в доле рынка, это 42% от общего количества организаций, оптово розничная торговля -20%. Весомую долю занимают на рынке труда предприятия оптово розничной торговли, зарегистрированные на территории г. Красноярска, но осуществляющие деятельность на территории района.</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индивидуальных предпринимателей, прошедших государственную регистрацию (согласно представленной информации Межрайонной ИФНС России № 12 по Красноярскому краю) составляет 340, это выше на 9,6 % по сравнению с 2020 годом и 1,1% с 2019 годом, в чем прослеживается положительная динамика.</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Среднесписочная численность работников организаций малого предпринимательства увеличилось на 1,67 % по сравнению с прошлым отчетным периодом и составило 1098 человек включая все виды экономической деятельности. </w:t>
      </w:r>
    </w:p>
    <w:p w:rsidR="0045218E" w:rsidRDefault="0045218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Среднесписочная численность работников у индивидуальных предпринимателей составила в 2021 году 405 человек.</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инвестиций в основной капитал организаций малого предпринимательства, включая микропредприятия 323,3 млн. рублей. </w:t>
      </w:r>
    </w:p>
    <w:p w:rsidR="0045218E" w:rsidRDefault="0045218E">
      <w:pPr>
        <w:widowControl w:val="0"/>
        <w:autoSpaceDE w:val="0"/>
        <w:autoSpaceDN w:val="0"/>
        <w:adjustRightInd w:val="0"/>
        <w:spacing w:after="0" w:line="240" w:lineRule="auto"/>
        <w:ind w:left="140" w:firstLine="640"/>
        <w:jc w:val="both"/>
        <w:rPr>
          <w:rFonts w:ascii="Times New Roman CYR" w:hAnsi="Times New Roman CYR" w:cs="Times New Roman CYR"/>
          <w:color w:val="000000"/>
          <w:sz w:val="28"/>
          <w:szCs w:val="28"/>
        </w:rPr>
      </w:pPr>
    </w:p>
    <w:p w:rsidR="0045218E" w:rsidRDefault="0045218E" w:rsidP="00A43DC4">
      <w:pPr>
        <w:widowControl w:val="0"/>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Среднее предпринимательство </w:t>
      </w:r>
    </w:p>
    <w:p w:rsidR="0045218E" w:rsidRDefault="0045218E">
      <w:pPr>
        <w:widowControl w:val="0"/>
        <w:autoSpaceDE w:val="0"/>
        <w:autoSpaceDN w:val="0"/>
        <w:adjustRightInd w:val="0"/>
        <w:spacing w:after="0" w:line="240" w:lineRule="auto"/>
        <w:ind w:left="280"/>
        <w:jc w:val="both"/>
        <w:rPr>
          <w:rFonts w:ascii="Times New Roman CYR" w:hAnsi="Times New Roman CYR" w:cs="Times New Roman CYR"/>
          <w:b/>
          <w:bCs/>
          <w:color w:val="000000"/>
          <w:sz w:val="28"/>
          <w:szCs w:val="28"/>
        </w:rPr>
      </w:pP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территории района деятельность осуществляют 3 сельскохозяйственных предприятия относящихся к средним предприятиям, с общей среднесписочной численностью работников (без внешних совместителей) 440 человек. Это на 1 предприятие меньше, чем в 2020 году.</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Среднемесячная заработная плата работников списочного состава средних организаций по району составляет 38,6 тысяч рублей.</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Оборот средних организаций за 2021год составил 1344,5 млн. рублей</w:t>
      </w:r>
    </w:p>
    <w:p w:rsidR="0045218E" w:rsidRDefault="0045218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Объем инвестиций в основной капитал средних организаций 323,2 миллиона рублей.</w:t>
      </w: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43DC4" w:rsidRDefault="00A43DC4">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 Результаты финансовой деятельности предприятий</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Сальдированный финансовый результат организаций и предприятия в 2021 году составил  – </w:t>
      </w:r>
      <w:r>
        <w:rPr>
          <w:rFonts w:ascii="Times New Roman" w:hAnsi="Times New Roman"/>
          <w:color w:val="000000"/>
          <w:sz w:val="28"/>
          <w:szCs w:val="28"/>
        </w:rPr>
        <w:t>1 379 829,00</w:t>
      </w:r>
      <w:r>
        <w:rPr>
          <w:rFonts w:ascii="Times New Roman CYR" w:hAnsi="Times New Roman CYR" w:cs="Times New Roman CYR"/>
          <w:sz w:val="28"/>
          <w:szCs w:val="28"/>
        </w:rPr>
        <w:t xml:space="preserve"> тыс.руб. </w:t>
      </w:r>
    </w:p>
    <w:p w:rsidR="0045218E" w:rsidRDefault="0045218E">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ab/>
        <w:t xml:space="preserve">Налогооблагаемая база для исчисления налога на прибыль предприятий и организаций в 2021 году значительно снизилась и составила </w:t>
      </w:r>
      <w:r>
        <w:rPr>
          <w:rFonts w:ascii="Times New Roman" w:hAnsi="Times New Roman"/>
          <w:color w:val="000000"/>
          <w:sz w:val="28"/>
          <w:szCs w:val="28"/>
        </w:rPr>
        <w:t>118 410,00</w:t>
      </w:r>
      <w:r>
        <w:rPr>
          <w:rFonts w:ascii="Times New Roman CYR" w:hAnsi="Times New Roman CYR" w:cs="Times New Roman CYR"/>
          <w:color w:val="000000"/>
          <w:sz w:val="28"/>
          <w:szCs w:val="28"/>
        </w:rPr>
        <w:t xml:space="preserve"> тыс.руб. Такое снижение показателя обусловлено тем, что предприятие ООО "ИнвестТрансСтрой" было зарегистрировано на территории района до 2020 года, в 2021 году снято с регистрации в Балахтинском районе и зарегистрировано в другом муниципальном образовании, в частности в г.Красноярск.</w:t>
      </w:r>
    </w:p>
    <w:p w:rsidR="0045218E" w:rsidRDefault="0045218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color w:val="000000"/>
          <w:sz w:val="28"/>
          <w:szCs w:val="28"/>
        </w:rPr>
        <w:tab/>
        <w:t xml:space="preserve">Удельный вес прибыльных организаций от общего числа организаций составил 95,65%, что выше показателя за аналогичный перод прошлого года на 11,61%. </w:t>
      </w: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9. Бюджет муниципального образования</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0" w:line="240" w:lineRule="auto"/>
        <w:ind w:firstLine="72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1 215,9 млн.руб. (в 2020 году 1 156,8 млн.руб.), в том числе собственные доходы 819,9 млн.руб, что выше показателя 2020 года на 2,9%. Расходная часть районного бюджета составила – 1 224,7 млн.руб., (в 2020 году 1153,8 млн. руб.).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Расходы консолидированного бюджета на жилищно-коммунальное хозяйство составили около 90,7 млн.руб., что ниже показателя 2020 года на 27,1%; на охрану окружающей среды – 242,3 тыс.руб.; на поддержку малого и среднего предпринимательства – 350,0 тыс.руб. Расходы бюджета на образование составили 633,8 млн.руб., что выше уровня прошлого отчетного периода на 11,3%; на физическую культуру и спорт – 25,3 млн.руб.; на социальную политику затрачено на 3,7% больше, чем в отчетном году, что составило 32,3 млн.руб.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Объем муниципального долга составил в 2021 году – 15 200 тыс.руб. </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10. Общественное питание</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Сеть общественного питания не изменилась по сравнению с 2020 годом. Она представлена 7 столовыми на 166 места, 20 столовыми, состоящими на балансе учебных заведений, организаций и промышленных предприятий на 1440 места, 10 кафе на 256 мест, общей площадью 555,9 кв.м. </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Оборот общественного питания в 2021 году составил 75,1 млн.руб. Темп роста оборота общественного питания в сопоставимых ценах, к соответствующему периоду предыдущего года 133,45%. </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11. Розничная торговля</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Сеть розничной торговли представлена 105 магазинами с площадью торговых залов 9001,5 кв.м, В районе работают 7 аптек, 17 аптечных киосков. </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органов государственной статистики оборот розничной торговли в 2021 году составил 2154,3 млн.руб. Темп роста оборота розничной торговли в сопоставимых ценах, к соответствующему периоду предыдущего года составил 102,5%, что связано с увеличением оборота в существующей сети и открытием нового магазина. </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12. Платные услуги населению</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Объем платных услуг, оказываемых населению Балахтинского района, составил в 2021 году 752,1 млн. руб. Темп роста объема платных услуг, оказанных населению в сопоставимых ценах, к соответствующему периоду предыдущего года составил 121,91%. Положительная динамика показателя наблюдается по всем видам платных услуг.</w:t>
      </w:r>
    </w:p>
    <w:p w:rsidR="0045218E" w:rsidRDefault="0045218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Объем платных услуг, оказанных населению организациями муниципальной формы собственности Балахтинского района составил 21,1 млн.руб., что значительно выше уровня 2020 года.</w:t>
      </w:r>
    </w:p>
    <w:p w:rsidR="00A43DC4" w:rsidRDefault="00A43DC4">
      <w:pPr>
        <w:widowControl w:val="0"/>
        <w:autoSpaceDE w:val="0"/>
        <w:autoSpaceDN w:val="0"/>
        <w:adjustRightInd w:val="0"/>
        <w:spacing w:after="0" w:line="240" w:lineRule="auto"/>
        <w:jc w:val="both"/>
        <w:rPr>
          <w:rFonts w:ascii="Times New Roman CYR" w:hAnsi="Times New Roman CYR" w:cs="Times New Roman CYR"/>
          <w:sz w:val="28"/>
          <w:szCs w:val="28"/>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13. Уровень жизни населения</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Среднедушевые денежные доходы в месяц в 2021 году составили 22523,10 рублей, повышение, в сравнении с 2020 годом составило 7,3%. В 2022 году планируется 26464,60 рублей, в 2023 году – 29243,40 руб., в 2024 году - 31641,40 рублей, в 2025 году - 33856,30 рублей.  </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Фонд оплаты труда в 2021 году составил 2 090 120,30 тыс.руб., рост показателя к уровню 2020 года незначительный и составил 1,5%, в 2022 планируется увеличение на 15,2%.</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Среднемесячная заработная плата увеличилась на 7,3% и составила в 2021 году – 38 415,70 руб., в 2022 году ожидается увеличение до – 44 400,98 руб. Рост заработной платы произошел во всех отраслях района. Рост плановых показателей на прогнозные годы связан с повышениями заработной платы государственным и муниципальным служащим и работникам учреждений, а также с индексацией заработной платы работникам отраслей бюджетной сферы. Значительный рост заработной платы произошел в агропромышленном комплексе, в отрасли промышленности и в сфере строительства. </w:t>
      </w:r>
    </w:p>
    <w:p w:rsidR="0045218E" w:rsidRDefault="0045218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Администрацией района совместно с налоговыми органами проводится работа по доведению уровня заработной платы на предприятиях и организациях до величины прожиточного минимума.</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14. Рынок труда</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факторов экономического роста является обеспеченность экономики района рабочей силой, отвечающей современным квалификационным требованиям.</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протяжении последних лет в районе наблюдается убыль трудоспособного населения. За пять лет численность сократилась на 4,3 % или на 778 человек. Молодежь и квалифицированные кадры мигрируют в города. Также существует проблема невозвращения в село обученной молодежи. Одной из первоочередных задач является привлечение и закрепление молодых специалистов на селе.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среднегодовая численность трудоспособного населения в трудоспособном возрасте составила 7 928 человек, что чуть выше уровня прошлого года.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повышением общеустановленного пенсионного возраста ожидается небольшое сокращение отрицательной численности трудовых ресурсов. Среднегодовая численность трудовых ресурсов составила 9127 человек, что ниже уровня аналогичного периода 2020 года на 25 человек.</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сокращения трудоспособного населения одним из важнейших факторов формирования трудового потенциала района может стать модернизация производства в имеющихся предприятиях, с целью создания высокопроизводительных рабочих мест, миграционный приток, вовлечение в трудовую деятельность большего количества выпускников Балахтинского аграрного техникума, жителей района из числа лиц с ограниченными возможностями здоровья, граждан пенсионного и предпенсионного возраста, создание условий для вывода из теневой экономики субъектов предпринимательства.</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район не обладает в полной мере экономической и социальной привлекательностью, отмечается недостаточное количество крупных градообразующих предприятий, низкий уровень доходов на селе, преобладание сезонных работ, недостаточный уровень социальной инфраструктуры, низкий уровень активности трудоустройства лиц, получающих различные социальные выплаты.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Рост производительности труда, сопровождаемый взвешенной миграционной политикой, позволит сбалансировать потребности района в трудовых ресурсах, а высокая трудовая мобильность населения, развитая и гибкая система обучения и переобучения кадров обеспечит максимальный территориальный и структурный баланс спроса и предложений рабочей силы. </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15. Демографическая ситуация</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Среднегодовая численность постоянно проживающего населения за 2021 год составляет 17909 человек. Показатель сократился на 210 человек или на 1,16%, в связи с ухудшением показателей смертности и отрицательных показателей миграционного движения. Численность постоянно проживающего населения – 17758 человек, в том числе численность населения, проживающего в городской местности – 6388 человек (36% населения района), численность населения, проживающего в сельской местности, – 11370 человек (64% населения района). </w:t>
      </w:r>
    </w:p>
    <w:p w:rsidR="0045218E" w:rsidRDefault="0045218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Национальный состав населения (по итогам Всероссийской переписи населения): русские – 86,4 %, немцы – 6,3 %, чуваши – 1,8 %, украинцы – 1,4 %, мордва – 0,7 %, белорусы – 0,6 %, татары – 0,5 %, хакасы – 0,1%.</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16. Образование</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b/>
          <w:bCs/>
          <w:sz w:val="28"/>
          <w:szCs w:val="28"/>
        </w:rPr>
        <w:t>Дошкольное образование</w:t>
      </w:r>
    </w:p>
    <w:p w:rsidR="0045218E" w:rsidRDefault="0045218E">
      <w:pPr>
        <w:autoSpaceDE w:val="0"/>
        <w:autoSpaceDN w:val="0"/>
        <w:adjustRightInd w:val="0"/>
        <w:spacing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2021 году в районе работало 8 муниципальных бюджетных дошкольных образовательных учреждений, из них 3 учреждения – в районном центре п. Балахта. В 3 сельских советах района (Грузенский, Петропавловский, и Черемушкинский) дошкольных образовательных учреждений нет. </w:t>
      </w:r>
    </w:p>
    <w:p w:rsidR="0045218E" w:rsidRDefault="0045218E">
      <w:pPr>
        <w:autoSpaceDE w:val="0"/>
        <w:autoSpaceDN w:val="0"/>
        <w:adjustRightInd w:val="0"/>
        <w:spacing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Всего численность детей на 01.01.2022г в возрасте от 0 до 6 лет, зарегистрированных на территории муниципального образования 1431 человек.</w:t>
      </w:r>
    </w:p>
    <w:p w:rsidR="0045218E" w:rsidRDefault="0045218E">
      <w:pPr>
        <w:autoSpaceDE w:val="0"/>
        <w:autoSpaceDN w:val="0"/>
        <w:adjustRightInd w:val="0"/>
        <w:spacing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детей на 01.01.2022 г от 0 до 7 лет, получающих услугу по дошкольному образованию – 888 человек. </w:t>
      </w:r>
    </w:p>
    <w:p w:rsidR="0045218E" w:rsidRDefault="0045218E">
      <w:pPr>
        <w:autoSpaceDE w:val="0"/>
        <w:autoSpaceDN w:val="0"/>
        <w:adjustRightInd w:val="0"/>
        <w:spacing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детей, стоящих на учёте на 01.01.2022г для определения в дошкольные образовательные учреждения Балахтинского района от 0 до 3 лет 160 детей, уменьшилось количество очередников на территории сельских советов в связи с охватом детей с полуторалетнего возраста детей. От 3 до 7 лет очерёдность отсутствует.</w:t>
      </w:r>
    </w:p>
    <w:p w:rsidR="0045218E" w:rsidRDefault="0045218E">
      <w:pPr>
        <w:autoSpaceDE w:val="0"/>
        <w:autoSpaceDN w:val="0"/>
        <w:adjustRightInd w:val="0"/>
        <w:spacing w:line="252"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Дневное общее образование</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в районе осуществляли образовательную деятельность 18 муниципальных общеобразовательных учреждений. В общем числе учреждений включены 13 средних общеобразовательных школ; 3 основные общеобразовательные школы и 2 начальные общеобразовательные школы. Начальные и основные ОУ являются филиалами средних школ. Показатель указан для фиксации наличия начальных и основных школ в сети района.  Кроме того, в сети находятся 2 начальные школы в которых образовательная деятельность приостановлена и не осуществляется с 2010 года. За 9 лет количество учащихся первых классов увеличилось с 208 до 271 обучающихся.   В 2021 году общая численность обучающихся составила 2542 человек. В том числе численность учащихся в общеобразовательных учреждениях с ограниченными возможностями здоровья 2021 году составила 282 обучающегося. Средняя наполняемость классов в 2021 году -13,2. Численность учащихся, приходящихся на одного учителя, в 2020 году – 12.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Среднегодовая численность учащихся, подвозимых к общеобразовательным учреждениям, в 2021 году составила 385 человека.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обучающихся во вторую смену в 2021 году составила 533 человека.  Увеличение показателя произошло за счет увеличения количества учеников в классах по параллелям, занимающихся во вторую смену и для исполнения  пункта 3.2. Постановления Главного государственного санитарного врача РФ от 30.06.2020 N 16 (ред. от 24.03.2021)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(вместе с "СП 3.1/2.4.3598-20. Санитарно-эпидемиологические правила...") (Зарегистрировано в Минюсте России 03.07.2020 N 58824).</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2021 учебном году уменьшилось количество классов-комплектов на 2. В 2021 году произошло незначительное уменьшение количества выпускников 11 классов общеобразовательных учреждений Балахтинского района. Данный показатель зависит от доли выпускников 9 классов, продолжающих обучение на уровне среднего общего образования. 32,1% учащихся 9 классов продолжили обучение в средней школе в 2020-21 учебном году.</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выпускники общеобразовательных организаций получили аттестаты о среднем образовании.</w:t>
      </w:r>
    </w:p>
    <w:p w:rsidR="0045218E" w:rsidRDefault="0045218E">
      <w:pPr>
        <w:autoSpaceDE w:val="0"/>
        <w:autoSpaceDN w:val="0"/>
        <w:adjustRightInd w:val="0"/>
        <w:spacing w:after="0" w:line="240" w:lineRule="auto"/>
        <w:ind w:firstLine="709"/>
        <w:jc w:val="both"/>
        <w:rPr>
          <w:rFonts w:ascii="Calibri" w:hAnsi="Calibri" w:cs="Calibri"/>
          <w:sz w:val="28"/>
          <w:szCs w:val="28"/>
        </w:rPr>
      </w:pPr>
      <w:r>
        <w:rPr>
          <w:rFonts w:ascii="Times New Roman CYR" w:hAnsi="Times New Roman CYR" w:cs="Times New Roman CYR"/>
          <w:sz w:val="28"/>
          <w:szCs w:val="28"/>
        </w:rPr>
        <w:t>В течение летнего сезона 2021г доля детей школьного возраста (от 7 до 17 лет), охваченных организованными формами отдыха, оздоровления и занятости, составила 42%: во всех школах функционировали 13 лагерей дневного пребывания с охватом 830 детей, в загородных лагерях отдохнули 50 школьников, в трудовых отрядах старшеклассников трудились 148 подростков, в малых формах отдыха задействованы 65 человек, всего 1093 человека.</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зданий и сооружений общеобразовательных организаций муниципальной формы собственности, требующих капитального ремонта по прогнозу на 2025 год 1 школа.</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СОШ. Строительство новой школы в п. Балахта планируется на 2025 год.</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педагогических работников в 2020 года составила 314 человек из них учителей – 230 человек. В район прибыло 4 молодых учителя.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Учреждения дополнительного образования</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районе 2 муниципальных учреждения дополнительного образования, подведомственных управлению образования администрации Балахтинского района: МБУ ДО Центр внешкольной работы "Ровесник", МБУ ДО "Детско-юношеская спортивная школа"), 1 учреждение дополнительного образования, подведомственное управлению культуры-детская школа искусств. Кроме этого, программы дополнительного образования реализуются в 13 школах. Все организации имеют лицензии на дополнительное образование. Система учёта детей в дополнительном образовании осуществляется на региональном интернет-портале „Навигатор дополнительного образования Красноярского края», где зарегистрированы все образовательные организации, имеющие лицензии. Зарегистрированные организации разместили на платформе „Навигатор“ 191 программу, электронное зачисление детей на программы дополнительного образования осуществляется через „Навигатор“. Согласно данным краевого портала, доля детей, получающих услуги дополнительного образования в организациях всех форм собственности, в 2021г. составила 77,57 % .</w:t>
      </w:r>
    </w:p>
    <w:p w:rsidR="0045218E" w:rsidRDefault="0045218E">
      <w:pPr>
        <w:autoSpaceDE w:val="0"/>
        <w:autoSpaceDN w:val="0"/>
        <w:adjustRightInd w:val="0"/>
        <w:spacing w:after="0" w:line="240" w:lineRule="auto"/>
        <w:ind w:left="14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Опека и попечительство </w:t>
      </w:r>
    </w:p>
    <w:p w:rsidR="0045218E" w:rsidRDefault="0045218E">
      <w:pPr>
        <w:autoSpaceDE w:val="0"/>
        <w:autoSpaceDN w:val="0"/>
        <w:adjustRightInd w:val="0"/>
        <w:spacing w:after="0" w:line="240" w:lineRule="auto"/>
        <w:ind w:left="140"/>
        <w:jc w:val="both"/>
        <w:rPr>
          <w:rFonts w:ascii="Times New Roman CYR" w:hAnsi="Times New Roman CYR" w:cs="Times New Roman CYR"/>
          <w:b/>
          <w:bCs/>
          <w:sz w:val="28"/>
          <w:szCs w:val="28"/>
        </w:rPr>
      </w:pP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численность детей-сирот и детей, оставшихся без попечения родителей, составила 208 человек, из которых 75 детей находятся под опекой (попечительством), 23 ребенка усыновленных, 61 ребенок воспитываются в приемных семьях, 49 воспитанников находится под надзором в КГКУ «Балахтинский детский дом». В сравнении с 2020 годом наблюдается уменьшение количество детей, переданных под опеку в связи с передачей детей в кровные семьи.   </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line="252" w:lineRule="auto"/>
        <w:rPr>
          <w:rFonts w:ascii="Calibri" w:hAnsi="Calibri" w:cs="Calibri"/>
        </w:rPr>
      </w:pPr>
    </w:p>
    <w:p w:rsidR="0045218E" w:rsidRDefault="0045218E">
      <w:pPr>
        <w:widowControl w:val="0"/>
        <w:autoSpaceDE w:val="0"/>
        <w:autoSpaceDN w:val="0"/>
        <w:adjustRightInd w:val="0"/>
        <w:spacing w:after="0" w:line="240" w:lineRule="auto"/>
        <w:rPr>
          <w:rFonts w:ascii="MS Sans Serif" w:hAnsi="MS Sans Serif" w:cs="MS Sans Serif"/>
          <w:sz w:val="16"/>
          <w:szCs w:val="16"/>
        </w:rPr>
      </w:pP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17. Культура</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Сеть учреждений культуры Балахтинского района составляет 71 учреждение.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Информационно-библиотечное обслуживание населения в Балахтинском районе осуществляют 33 муниципальные общедоступные библиотеки.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По итогам 2021 года число читателей библиотек района составило - 12395 человек, книговыдача - 279219, посещения – 129895, проведено 2259 мероприятий в офлайн-формате и 47 мероприятий прошло в онлайн-формате.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2021 году библиотеки МБУК «Балахтинская ЦБС» приняли участие в 17 конкурсах и акциях различных уровней.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Красненской сельской библиотекой – филиалом № 27 выигран грантовый проект на сумму 50 000 рублей, который поддержал фонд «Русский мир».  Проект направлен на изучение русского языка младшими школьниками.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Поддержан проект центральной районной библиотеки, направленный на изучение простейших методов 3D моделирования с помощью 3D ручки, на сумму 11 500 рублей, в рамках краевого проекта «Территория Красноярский край».</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Разработана программа по развитию краеведения в библиотеках МБУК «Балахтинская ЦБС» на 2021 – 2024гг., в рамках которой осуществлялся сбор краеведческой информации, оцифровка местных периодических изданий. Собранная информация размещается на официальном сайте ЦБС, оцифрованные издания – в электронном каталоге.</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Библиотечный фонд пополнился на 7452 новых издания, приобретенных на финансирование из местного, краевого и федерального бюджетов.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районе функционирует детская школа искусств с численностью учащихся 184 человека.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Деятельность   Балахтинской детской школы искусств направлена на реализацию своего основного предназначения - реализацию дополнительных    общеобразовательных программ в области искусств, в том числе для учащихся с ограниченными возможностями здоровья и организацию творческой деятельности обучающихся.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отделения переведены на предпрофессиональные программы: «Фортепиано», «Народные инструменты», «Музыкальный фольклор» и «Декоративно-прикладное искусство». В 2021 г. детская школа искусств выпустили 10 обучающихся.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всем направлениям 88 обучающихся участвовали и побеждали в конкурсах различных уровней. Педагог ДШИ стал лауреатом 2 степени XXXV Международного конкурса на народных инструментах им. Маланина в г.Новосибирске.</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В ДШИ проведен косметический ремонт коридоров и актового зала на сумму около 500 тыс.рублей за счет краевого бюджета, разработанная проектно-сметная документация на реконструкцию крыши здания получила положительное заключение экспертизы в июне 2021 года. </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Постепенно улучшается материально-техническая база ДШИ (приобретены стулья для отделения декоративно-прикладного искусства, для музыкального отделения приобрели малый барабан, тарелки для ансамбля народных инструментов).</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В рамках федерального проекта «Творческие люди» заявленный специалист прошел повышение квалификации на заочном обучении с применением дистанционных технологий на базе центров непрерывного образования и повышения квалификации творческих и управленческих кадров.</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Балахтинском районе функционирует учреждение музейного типа с количеством предметов основного фонда - 2300 ед.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Работа краеведческого музея   велась в соответствии с важнейшими событиями в стране и районе. Основа деятельности - патриотическое направление, показывающее историю района, который дал стране имена героев войны и труда.  Работа ведется в едином русле с мероприятиями администрации Балахтинского района и широким кругом партнеров.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Сотрудники используют фонды музея для тематических выставок, экскурсий, уроков мужества, встреч с участниками событий, публикаций.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Традиционно из года в год проводятся музейные и выездные мероприятия с интерактивными играми – отклики на календарные даты и праздники патриотической направленности. За отчетный период было проведено 14 мероприятий, выставок, конкурсов и экспедиций, представленных в онлайн-режиме, проведено 33 массовых мероприятия.     Всероссийские акции проводились при небольшом количестве приглашенных, материал выкладывался в онлайн-режиме. В «Ночь музеев» действовала выставка «Музей в чемодане», рассказывающая об увлечениях и профессиональных достижениях 15 балахтинских семей.</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Деятельность музея представлена в социальных сетях «ВКонтакте» «Одноклассники», на сайте музея. Музей осуществляет работу с различными категориями посетителей.  Посещают экскурсии и принимают участие в мероприятиях лица до 16 лет, дошкольники, школьники, учащиеся Балахтинского аграрного техникума, представители районного Совета ветеранов и пенсионеры, инвалиды. Социальная работа с ветеранами, инвалидами, многодетными семьями ведется совместно с ОСЗН Балахтинского района, Детской школой искусств, а также индивидуально.</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Сотрудники музея поддерживают   долгосрочный проект сотрудничества с музеем и краеведами Большеулуйского района, участниками поискового движения России, участниками Вахты Памяти-2020 в городах Ржев, Смоленск, Можайск. С их участием была проведена акция «Горсть памяти», посвященная балахтинцам, погибшим под Смоленском.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highlight w:val="yellow"/>
        </w:rPr>
      </w:pP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Культурную составляющую также реализуют 36 учреждений культурно - досугового типа вместимостью зрительных залов 3837 мест.</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На базе МБУК «Балахтинская ЦКС» работали 203 клубных формирования, их посещали 2004 человек. 7 творческих коллективов имеют почетные  звания «Народный»  и «Образцовый». В 2021 году подтвердили звание «Народный»   ансамбль  «Горлица» и театр кукол «Мир сказки». Самодеятельные артисты   района, не смотря на ограничения, не останавливались в своём развитии - повышали профессиональное мастерство, участвовали в онлайн-конкурсах, пополняя копилку районных побед. В 2021 году лауреатами краевых и всероссийских фестивалей и конкурсов стали 32 творческих коллективов и 27 участников художественной самодеятельности.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В рамках национального проекта «Культура» в 2021 году был проведен капитальный ремонт крылец пожарных выходов МБУК "Балахтинская ЦКС" (РДК) на сумму 590 тыс.руб.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На укрепление МТБ Дома культуры с. Тюльково освоена субсидия на сумму 1 452 тыс. руб. (приобретение современной   аппаратуры, одежды сцены). Реализована субсидия на поддержку народного ансамбля шумовых инструментов «Славица» (РДК) на сумму 195 тыс.руб.</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Благодаря участию в конкурсном отборе на реализацию инновационных, социально значимых проектов в области культуры и искусства были выделены денежные средства в размере 350 тыс. руб. на проведение брендового мероприятия, 5-го фестиваля-ярмарки "Купеческий разгуляй".</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2022 году осваивается субсидия на укрепление материально- технической базы: проведение текущего ремонта филиала  «Дом культуры п.Приморск», а так же на механическое переоборудование сцены МБУК "Балахтинская ЦКС» (РДК).</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Количество зданий и сооружений учреждений культуры и образования,    требующих капитального ремонта по прогнозу до 2025 года  составляет 5  («Дом культуры села Ровное», «Дом культуры п.Черемушки», сельский клуб д.Ильтюково, «Дом культуры с.Петропавловка», «Дом культуры «Колос» п.Балахта»).</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На 2023 год планируется  освоить субсидию на  укрепление материально- технической базы для «Дом культуры с.Еловка».</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28. Физическая культура и спорт</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Участие района в субсидиях на модернизацию и укрепление материально технической базы и приобретение инвентаря и оборудования.</w:t>
      </w:r>
    </w:p>
    <w:p w:rsidR="0045218E" w:rsidRDefault="0045218E">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Физкультура на предприятиях и организациях ведется по территориальному принципу. На территориях инструкторы – методисты в организованных клубах по месту жительства граждан (на сегодняшний день на территории района 13 структурных подразделений КМЖ), на предприятиях и организациях тренеры - общественники. </w:t>
      </w:r>
    </w:p>
    <w:p w:rsidR="0045218E" w:rsidRDefault="0045218E">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Традиционно проводятся спартакиады между организациями района и территориями. Подготовка сборных команд для участия в зачетных видах спорта и спартакиадах среди районов края. Ежегодно по итогам года спортсменом района присваиваются спортивные разряды и спортивные звания. </w:t>
      </w:r>
    </w:p>
    <w:p w:rsidR="0045218E" w:rsidRDefault="0045218E">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С 2016 года в школах ведется активная работа по внедрению комплекса ГТО. изучаются испытания и нормативы комплекса, техника выполнения испытаний, порядок приема испытаний и получения знаков отличия не только по всем возрастным ступеням, но и проводится общее ознакомление среди воспитанников детских садов района.</w:t>
      </w:r>
    </w:p>
    <w:p w:rsidR="0045218E" w:rsidRDefault="0045218E">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Участие в федеральном проекте «Спорт- норма жизни» способствовало к открытию спортивной площадки для подготовки и сдачи норм ГТО в 2019 году, а также еще одной аналогичной площадки в 2020г. на территории п.Балахта, так же на территории п. Чистое Поле в 2020г. состоялось открытие футбольного поля с искусственным покрытием, что в позволило увеличить единовременную пропускную способность на 72 человека.</w:t>
      </w:r>
    </w:p>
    <w:p w:rsidR="0045218E" w:rsidRDefault="0045218E">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В 2021 году подтверждена краевая субсидия на устройство плоскостного сооружения (хоккейная коробка) с. Ровное и субсидия на модернизацию и укрепление материально-технической базы для устройства и покрытия беговых дорожек из резиновой крошки в п.Чистое Поле вокруг созданного футбольного поля.</w:t>
      </w:r>
    </w:p>
    <w:p w:rsidR="0045218E" w:rsidRDefault="0045218E">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На 2022 плановый год- вновь участие в федеральном проекте «Спорт- норма жизни» и установка спортивной площадки для подготовки и сдачи норм ГТО в п.Приморск.</w:t>
      </w:r>
    </w:p>
    <w:p w:rsidR="0045218E" w:rsidRDefault="0045218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Все выше перечисленное ведет к повышению всех показателей развития физической культуры и спорта в Балахтинском районе.</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19. Социальная защита населения</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Балахтинском районе действует территориальный отдел краевого государственного учреждения «Управление социальной защиты населения» и «Комплексный центр социального обслуживания». </w:t>
      </w:r>
    </w:p>
    <w:p w:rsidR="0045218E" w:rsidRDefault="0045218E">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Данными учреждениями предоставляются более 50 государственных услуг и обслуживается более 6 тысяч граждан. На эти цели было израсходовано в 2021 году 192,0 млн.рублей.</w:t>
      </w:r>
    </w:p>
    <w:p w:rsidR="0045218E" w:rsidRDefault="0045218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Помощь получило 308 семей района: в связи с трудной жизненной ситуацией - 262 семьи, на ремонт жилья - 29 семей, на ремонт печного отопления и электропроводки - 17 семей.</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Заключено 89 соцконтрактов, на сумму более 11 млн.руб., поддержаны семьи с детьми от 3 до 7 лет, выплат произведено на сумму - 111 млн.рублей. </w:t>
      </w:r>
    </w:p>
    <w:p w:rsidR="0045218E" w:rsidRDefault="0045218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Специалистами комплексного центра обслужено более 2 тысяч человек.</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43DC4" w:rsidRDefault="00A43DC4">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43DC4" w:rsidRDefault="00A43DC4">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43DC4" w:rsidRDefault="00A43DC4">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43DC4" w:rsidRDefault="00A43DC4">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20. Жилищно-коммунальное хозяйство</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rsidP="00A43DC4">
      <w:pPr>
        <w:widowControl w:val="0"/>
        <w:tabs>
          <w:tab w:val="left" w:pos="9214"/>
        </w:tabs>
        <w:autoSpaceDE w:val="0"/>
        <w:autoSpaceDN w:val="0"/>
        <w:adjustRightInd w:val="0"/>
        <w:spacing w:after="0" w:line="240" w:lineRule="auto"/>
        <w:ind w:right="7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жилищно-коммунальном комплексе района осуществляется и будет осуществляться далее решение задач в целях улучшения качества предоставления жилищно-коммунальных услуг, обеспечения стабильного функционирования жилищного фонда и объектов коммунальной инженерной инфраструктуры, находящейся на территории района. </w:t>
      </w:r>
    </w:p>
    <w:p w:rsidR="0045218E" w:rsidRDefault="0045218E" w:rsidP="00A43DC4">
      <w:pPr>
        <w:widowControl w:val="0"/>
        <w:tabs>
          <w:tab w:val="left" w:pos="9214"/>
        </w:tabs>
        <w:autoSpaceDE w:val="0"/>
        <w:autoSpaceDN w:val="0"/>
        <w:adjustRightInd w:val="0"/>
        <w:spacing w:after="0" w:line="240" w:lineRule="auto"/>
        <w:ind w:right="7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Общая сумма доходов организаций от реализации жилищно-коммунальных услуг в 2021 году составила 374 184,00 тыс. рублей, к концу прогнозного периода доходы увеличатся до 379 317,00 тыс. рублей (оценка 2021 года – 379 317,00 тыс. рублей). За три прогнозных года прирост в действующих ценах составит 1,4 %.</w:t>
      </w:r>
    </w:p>
    <w:p w:rsidR="0045218E" w:rsidRDefault="0045218E" w:rsidP="00A43DC4">
      <w:pPr>
        <w:widowControl w:val="0"/>
        <w:tabs>
          <w:tab w:val="left" w:pos="9214"/>
        </w:tabs>
        <w:autoSpaceDE w:val="0"/>
        <w:autoSpaceDN w:val="0"/>
        <w:adjustRightInd w:val="0"/>
        <w:spacing w:after="0" w:line="240" w:lineRule="auto"/>
        <w:ind w:right="7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среднесрочном периоде ежегодная индексация регулируемых цен (тарифов) на коммунальные услуги (электро- и теплоэнергию, газ, водоснабжение и водоотведение) предусмотрена с 1 июля. Будет продолжена политика ограничения роста платы населения за коммунальные услуги в целях обеспечения доступности коммунальных услуг. </w:t>
      </w:r>
    </w:p>
    <w:p w:rsidR="0045218E" w:rsidRDefault="0045218E" w:rsidP="00A43DC4">
      <w:pPr>
        <w:widowControl w:val="0"/>
        <w:tabs>
          <w:tab w:val="left" w:pos="9214"/>
        </w:tabs>
        <w:autoSpaceDE w:val="0"/>
        <w:autoSpaceDN w:val="0"/>
        <w:adjustRightInd w:val="0"/>
        <w:spacing w:after="0" w:line="240" w:lineRule="auto"/>
        <w:ind w:right="77"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Общая площадь жилищного фонда всех форм собственности района по базовому варианту прогноза в 2022 году составит 562,00 тыс.кв.м., к концу 2025 года увеличится до 565,0 тыс.кв.м.. Обеспеченность граждан жилищным фондом, приходящаяся на 1 жителя в 2025 году по оценке увеличится с 31,65 кв.м./чел. на 31,82.</w:t>
      </w:r>
    </w:p>
    <w:p w:rsidR="0045218E" w:rsidRDefault="0045218E" w:rsidP="00A43DC4">
      <w:pPr>
        <w:widowControl w:val="0"/>
        <w:tabs>
          <w:tab w:val="left" w:pos="9214"/>
        </w:tabs>
        <w:autoSpaceDE w:val="0"/>
        <w:autoSpaceDN w:val="0"/>
        <w:adjustRightInd w:val="0"/>
        <w:spacing w:after="0" w:line="240" w:lineRule="auto"/>
        <w:ind w:right="7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2021 году расходы на капитальный ремонт объектов водоснабжения за счет всех источников финансирования составили – 18 865,38 тыс.рублей, в том числе из краевого бюджета – 10 980,00 тыс.рублей, из местного бюджета – 7 885,38 тыс.рублей. В рамках подпрограммы «Модернизация, реконструкция и капитальный ремонт объектов коммунальной инфраструктуры муниципальных образований» в 2022-2024 год предусмотрены мероприятия по предупреждению ситуаций, связанных с нарушением условий жизнедеятельности населения и повышения качества коммунальных услуг. Запланировано выполнение капитального ремонта шести водонапорных башен, капитальный ремонт 550 м. водопроводных сетей, а также капитальный ремонт канализационно – насосной станции. Реализация мероприятий в среднесрочном периоде позволит сохранить уровень износа коммунальной инфраструктуры на уровне 2021 года – 62,2%. </w:t>
      </w:r>
    </w:p>
    <w:p w:rsidR="0045218E" w:rsidRDefault="0045218E" w:rsidP="00A43DC4">
      <w:pPr>
        <w:widowControl w:val="0"/>
        <w:tabs>
          <w:tab w:val="left" w:pos="9214"/>
        </w:tabs>
        <w:autoSpaceDE w:val="0"/>
        <w:autoSpaceDN w:val="0"/>
        <w:adjustRightInd w:val="0"/>
        <w:spacing w:after="0" w:line="240" w:lineRule="auto"/>
        <w:ind w:right="7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условиях субсидирования на компенсацию выпадающих доходов коммунальных организаций, в связи с применением предельного индекса цен повышения тарифов, в прогнозном периоде планируется сохранение показателя уровня возмещения населением затрат на предоставление жилищно-коммунальных услуг по установленным для населения тарифам на текущем уровне 72,5%.</w:t>
      </w:r>
    </w:p>
    <w:p w:rsidR="0045218E" w:rsidRDefault="0045218E" w:rsidP="00A43DC4">
      <w:pPr>
        <w:widowControl w:val="0"/>
        <w:tabs>
          <w:tab w:val="left" w:pos="9214"/>
        </w:tabs>
        <w:autoSpaceDE w:val="0"/>
        <w:autoSpaceDN w:val="0"/>
        <w:adjustRightInd w:val="0"/>
        <w:spacing w:after="0" w:line="240" w:lineRule="auto"/>
        <w:ind w:right="7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прогнозном периоде будет также продолжена реализация региональной программы капитального ремонта общего имущества в многоквартирных домах на период 2017-2046 годов, в рамках которой на 2022-2023 годы утвержден краткосрочный план капитального ремонта общего имущества в многоквартирных домах в 8 МКД.</w:t>
      </w:r>
    </w:p>
    <w:p w:rsidR="0045218E" w:rsidRDefault="0045218E">
      <w:pPr>
        <w:widowControl w:val="0"/>
        <w:autoSpaceDE w:val="0"/>
        <w:autoSpaceDN w:val="0"/>
        <w:adjustRightInd w:val="0"/>
        <w:spacing w:after="0" w:line="240" w:lineRule="auto"/>
        <w:rPr>
          <w:rFonts w:ascii="Times New Roman CYR" w:hAnsi="Times New Roman CYR" w:cs="Times New Roman CYR"/>
          <w:color w:val="FFFFFF"/>
          <w:sz w:val="24"/>
          <w:szCs w:val="24"/>
          <w:highlight w:val="white"/>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21. Экология</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водопотребления (забрано воды) из природных источников 5484,30 тыс.куб.м., объем водопотребления (забрано воды) из подземных источников 5484,30 тыс.куб.м., объем использования , забранной из природных источников составляет 321,78 тыс.куб.м. Объем использования воды, забранной из природных источников, используемой на производственные нужды- 116,36 тыс.куб.м. Объем использования воды, забранной из природных источников, используемой на хозяйственно-питьевые нужды – 98,67 тыс.куб.м. Количество водозаборных сооружений, оснащенных системами учета воды 5 единиц. Объем сброса загрязненных сточных вод (без очистки и недостаточно очищенных) в водные объекты, на рельеф, в подземные горизонты по итогам 2021 года составляет 5370,67 тыс.куб.м. Объем сброса загрязненных сточных вод в поверхностные водные объекты – 5336,01 тыс.куб.м. Суммарная мощность очистных сооружений используемых для очистки сточных вод в сутки в 2021 году составляет 132,20 тыс.куб.м.</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Имеется два очистных сооружения, оснащённые средствами учета воды. (п.Балахта- в краевой собственности в оперативном управлении ГПКК «ЦРКК», д.Ключи – собственник АО «Санаторий «Красноярское Загорье», в оперативном управлении ООО ТМ «Прогресс»).</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загрязняющих веществ, отходящих от стационарных источников загрязнения атмосферного воздуха, составил 1680,0 тонн, а уловленных и обезвреженных– 81,0 тонны, удельный вес уловленных и обезвреженных вредных веществ в общем объеме загрязняющих веществ, отходящих от стационарных источников загрязнения атмосферного воздуха составляет – 4,82 %, по данным Росприродназдзора по итогам 2021 года.</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Выброшено в атмосферный воздух загрязняющих веществ от стационарных источников загрязнения атмосферного воздуха – 1599 тонна, Темп роста объема выбросов в атмосферу загрязняющих веществ стационарными источниками загрязнения, к соответствующему периоду предыдущего года – 159,74 %.</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выбросов в атмосферный воздух загрязняющих веществ от передвижных источников составляет 8544,51 тонн, что выше показателя 2020 года на 117,2%</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отходов производства и потребления в 2021 году составило 641465,00   тонны. Из них: образование отходов производства и потребления II класса опасности для окружающей природной среды - высоко опасные составляет 2,0 тонны,  образование отходов производства и потребления III класса опасности для окружающей природной среды - умеренно опасные составляет 12,0 тонны, образование отходов производства и потребления IV класса опасности для окружающей природной среды – малоопасные составляют 374,0 тонны, образование отходов производства и потребления V класса опасности для окружающей природной среды - практически неопасные составило – 641077,0 тонны.</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организация (МХ ООО «Универсал»), использующая отходы в качестве вторичных материальных ресурсов, на территории района, имеются отходы V класса опасности для окружающей природной среды – малоопасные – 640537,0 тонн.</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отходов, переданных для обезвреживания на территории района составляет 16,0 тонн, из них I класса опасности для окружающей природной среды отсутствуют, II класса опасности для окружающей природной среды – 1,0 тонны, III класса опасности для окружающей природной среды – 3,0 тонны, IV класса опасности для окружающей природной среды – 12,0 тонны.</w:t>
      </w: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p>
    <w:p w:rsidR="0045218E" w:rsidRDefault="0045218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объектов размещения отходов, выполненных и эксплуатирующийся в соответствии с экологическими, строительными и санитарными нормами и правилами, согласно проектам, прошедшим государственную экспертизу – 1 с площадью 0,06 тыс. га и мощностью 4000 тонн.</w:t>
      </w:r>
    </w:p>
    <w:p w:rsidR="0045218E" w:rsidRDefault="0045218E">
      <w:pPr>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На территории Балахтинского района одно предприятие МХ ООО «Универсал» (ИНН 2403008221), юридический адрес: 662340, Красноярский край, Балахтинский район, поселок городского типа Балахта, улица Сурикова, 8, занимается утилизацией и переработкой бытовых и промышленных отходов.</w:t>
      </w:r>
    </w:p>
    <w:p w:rsidR="0045218E" w:rsidRPr="00A43DC4" w:rsidRDefault="0045218E" w:rsidP="00A43DC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Перевозкой твердых коммунальных отходов на территории Балахтинского района занимается организация ООО"Эко-Транспорт" По итогам 2021 года вывезено твердых бытовых отходов – 7,34 тыс. куб. м, что меньше на 9,33 тыс. куб. м., чем в 2020 году. В 2021 году вывезено твердых коммунальных отходов на объекты, используемые для обработки отходов – 1,83 тыс. куб. м.</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Pr="00A43DC4"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22. Реализация на территории муниципального образования федеральных и краевых целевых программ</w:t>
      </w: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Pr="00A43DC4"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23. Проблемы при формировании мониторинга социально-экономического развития муниципального образования</w:t>
      </w: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5218E" w:rsidRDefault="0045218E">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24. Другое</w:t>
      </w: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p w:rsidR="0045218E" w:rsidRDefault="0045218E">
      <w:pPr>
        <w:widowControl w:val="0"/>
        <w:autoSpaceDE w:val="0"/>
        <w:autoSpaceDN w:val="0"/>
        <w:adjustRightInd w:val="0"/>
        <w:spacing w:after="0" w:line="240" w:lineRule="auto"/>
        <w:rPr>
          <w:rFonts w:ascii="Times New Roman CYR" w:hAnsi="Times New Roman CYR" w:cs="Times New Roman CYR"/>
          <w:sz w:val="24"/>
          <w:szCs w:val="24"/>
        </w:rPr>
      </w:pPr>
    </w:p>
    <w:sectPr w:rsidR="0045218E" w:rsidSect="00A43DC4">
      <w:pgSz w:w="12240" w:h="15840"/>
      <w:pgMar w:top="851" w:right="851" w:bottom="851" w:left="15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Sans Serif">
    <w:altName w:val="Microsoft Sans Serif"/>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C4"/>
    <w:rsid w:val="0045218E"/>
    <w:rsid w:val="00A43DC4"/>
    <w:rsid w:val="00BB0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192720-FEA0-4F5F-B245-439F45A3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11645</Words>
  <Characters>66377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Lenovo</cp:lastModifiedBy>
  <cp:revision>2</cp:revision>
  <dcterms:created xsi:type="dcterms:W3CDTF">2024-07-11T02:17:00Z</dcterms:created>
  <dcterms:modified xsi:type="dcterms:W3CDTF">2024-07-11T02:17:00Z</dcterms:modified>
</cp:coreProperties>
</file>