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98" w:rsidRDefault="00D71F98" w:rsidP="004B25FE">
      <w:pPr>
        <w:widowControl w:val="0"/>
        <w:autoSpaceDE w:val="0"/>
        <w:autoSpaceDN w:val="0"/>
        <w:adjustRightInd w:val="0"/>
        <w:spacing w:after="0" w:line="240" w:lineRule="auto"/>
        <w:jc w:val="center"/>
        <w:rPr>
          <w:rFonts w:ascii="Times New Roman CYR" w:hAnsi="Times New Roman CYR" w:cs="Times New Roman CYR"/>
          <w:sz w:val="24"/>
          <w:szCs w:val="24"/>
        </w:rPr>
      </w:pPr>
      <w:bookmarkStart w:id="0" w:name="_GoBack"/>
      <w:bookmarkEnd w:id="0"/>
      <w:r>
        <w:rPr>
          <w:rFonts w:ascii="Times New Roman CYR" w:hAnsi="Times New Roman CYR" w:cs="Times New Roman CYR"/>
          <w:b/>
          <w:bCs/>
          <w:color w:val="000000"/>
          <w:sz w:val="28"/>
          <w:szCs w:val="28"/>
        </w:rPr>
        <w:t>Пояснительная записка к Прогнозу СЭР МО</w:t>
      </w: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 Общие сведения о муниципальном образовании</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образование Балахтинский район образовано в 1924 году и расположен к югу от г.Красноярска по обеим сторонам Красноярского водохранилища. Территория – 10250 кв. км., в том числе сельхозугодий – 2351,2 кв.км., земель лесного фонда – 6061 кв.км., водного фонда – 657 кв.км.</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площади территория Балахтинского района занимает 12-е место в крае. Протяженность с запада на восток – 140 км, с севера на юг – 73 км.</w:t>
      </w:r>
    </w:p>
    <w:p w:rsidR="00D71F98" w:rsidRDefault="00D71F9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Район граничит на западе с Ужурским и Назаровским районами, на севере – с Козульским и Емельяновским, на юге – с Идринским, Курагинским, Краснотуранским и Новоселовским районами, на северо-востоке – с Березовским районом и г.Дивногорском. </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Климатический пояс, в котором расположен Балахтинский район, резко континентальный. По данным метеорологической станции, среднегодовая температура воздуха оставляет (-)1 градус, в зимний период – (-)15,5 градусов, в летний период – (+)9 градусов. Продолжительность безморозного периода – 114 дней, осадки – апрель-май – 332 мм. Средняя толщина снежного покрова – 24 см.</w:t>
      </w:r>
    </w:p>
    <w:p w:rsidR="00D71F98" w:rsidRDefault="00D71F9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Число населенных пунктов – 48. Населенные пункты объединены в 12 сельсоветов, 1 поссовет. </w:t>
      </w:r>
    </w:p>
    <w:p w:rsidR="00D71F98" w:rsidRDefault="00D71F9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Самым крупным по количеству жителей является Балахтинский поссовет – 6,7 тыс. человек, из них в п.Балахта проживает 6,5 тыс. человек (35,9% всего населения района).</w:t>
      </w:r>
    </w:p>
    <w:p w:rsidR="00D71F98" w:rsidRDefault="00D71F9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Крупных населенных пунктов с численностью жителей более 1000 человек – 3:  п.Приморск, с.Кожаны, п.Чистое Поле.</w:t>
      </w:r>
    </w:p>
    <w:p w:rsidR="00D71F98" w:rsidRDefault="00D71F9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Населенных пунктов с численностью жителей менее 100 человек – 15: д.Перово, д.Смоленка, д.Куртюл, д.Тюлюпта, д.Березовая, д.Огоньки, д.Малые Сыры, д.Виленка,  д.Кизык-Чуль, д.Тукай, д.Кизылка, д.Балдаштык, д.Гладкий Мыс, с.Курбатово, д.Новотроицк.</w:t>
      </w:r>
    </w:p>
    <w:p w:rsidR="00D71F98" w:rsidRDefault="00D71F9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Наиболее удаленными от районного центра являются населенные пункты: д.Березовая – 96 км, д.Тюлюпта – 97 км, д.Куртюл  - 83 км, д.Смоленка – 73 км, д.Кизылка – 62 км,  д.Петропавловка – 59 км, с.Курбатово – 56,5 км,  д. Могучий – 56 км, д.Кизык-Чуль – 54 км, д.Холодный Ключ и д.Черемушки – 53 км, п.Вольный 50 км. . Не имеют устойчивого транспортного сообщения с районным центром 13 населенных пунктов, автобусного сообщения не имеют 20 населенных пунктов.</w:t>
      </w:r>
    </w:p>
    <w:p w:rsidR="00D71F98" w:rsidRDefault="00D71F9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Территория Черемушкинского сельсовета расположена на правом берегу Красноярского водохранилища. Связь с районным центром в летний период осуществляется водным транспортом, в зимний период – по ледовой переправе.</w:t>
      </w:r>
    </w:p>
    <w:p w:rsidR="00D71F98" w:rsidRDefault="00D71F98">
      <w:pPr>
        <w:widowControl w:val="0"/>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Связь с краевым центром осуществляется по автодороге федерального </w:t>
      </w:r>
      <w:r>
        <w:rPr>
          <w:rFonts w:ascii="Times New Roman CYR" w:hAnsi="Times New Roman CYR" w:cs="Times New Roman CYR"/>
          <w:sz w:val="28"/>
          <w:szCs w:val="28"/>
        </w:rPr>
        <w:lastRenderedPageBreak/>
        <w:t xml:space="preserve">значения «Енисей». Ближайшая железнодорожная станция Ужур расположена на расстоянии 120 км от районного центра. Расстояние от п. Балахта до ближайшей пристани Приморск составляет 31 км. </w:t>
      </w:r>
      <w:r>
        <w:rPr>
          <w:rFonts w:ascii="Times New Roman CYR" w:hAnsi="Times New Roman CYR" w:cs="Times New Roman CYR"/>
          <w:color w:val="000000"/>
          <w:sz w:val="28"/>
          <w:szCs w:val="28"/>
        </w:rPr>
        <w:t>Территория района богата природными ресурсами. Запасы полезных ископаемых в Балахтинском районе составляют: рассыпное золото, уголь бурый. тонн, глина, пески строительные, цеолиты, флюорит, минеральные воды (Кожановское месторождение).</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Район расположен в пределах уникального Канско-Ачинского угольного бассейна. В настоящее время разведано Большесырское месторождение бурого угля с запасами угля более 200 млн. тонн. Уголь Большесырского месторождения по качеству является лучшим среди известных бурых углей.</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Уникальным для Балахтинского района является Кожановское месторождение минеральных питьевых лечебных и лечебно-столовых вод. Известное еще в 19 веке месторождение эксплуатируется санаторием «Красноярское Загорье», где лечат заболевания сердечно-сосудистой системы, желудочно-кишечного тракта, эндокринной системы, астенические неврозы. </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районе также имеются месторождения цеолитов, урана, глин и суглинков легкоплавких для производства кирпича, глин огнеупорных, песчано-гравийных материалов, камня строительного, поделочных камней, карбонатных пород для строительной извести.</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Район обладает значительными лесными ресурсами. Площадь лесов занимает более половины площади района. Среди лесных пород преобладают мягколиственные и темнохвойные породы.  Район имеет богатую лекарственную флору, которая является уникальной для производства лекарственных препаратов растительного происхождения. В районе богатые запасы дикоросов – грибов, ягод, папоротника, которые могут быть переработаны и реализованы  населению, а также поставлены на экспорт.  Все сырье является экологически чистым.</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Район обладает ресурсами для развития туризма. Территория  района  богата  историческими    местами,  историческими  памятниками,   связанными  с  именами  Г.В.  Юдина – предпринимателем, библиофилом;  И.В.  Кулаевым – уроженцем  д.  Атаманово, создателем  всемирно  известного  просветительского  благотворительного  фонда.     Балахтинский  район  связан  с  именем  заслуженного  художника  России  В. Мамичевым. Балахтинский район – родина  всемирно известного писателя А. Черкасова. </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  территории    Балахтинского  района  расположен   крупнейший    курорт  Восточной  Сибири -  санаторий  «Красноярское  Загорье» -  идеален  как  для  восстановления   здоровья, так  и  для  индивидуального  и  семейного   отдыха. </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правобережье   Красноярского водохранилища имеется база отдыха  (ПБОЮЛ  Брацук  С.А.)  на  25  человек.  Для  организации  отдыха  организованы:  конные  прогулки,  рыбалка,  прогулочно-экскурсионные  </w:t>
      </w:r>
      <w:r>
        <w:rPr>
          <w:rFonts w:ascii="Times New Roman CYR" w:hAnsi="Times New Roman CYR" w:cs="Times New Roman CYR"/>
          <w:color w:val="000000"/>
          <w:sz w:val="28"/>
          <w:szCs w:val="28"/>
        </w:rPr>
        <w:lastRenderedPageBreak/>
        <w:t xml:space="preserve">маршруты  по водохранилищу,  сауна. Кроме  этого,    есть  возможность  организации  летнего  и  зимнего  отдыха  на  берегах  Красноярского  водохранилища,  на   р. Сисим,  Погромная,  Смоленка,  Дербина,  Тубиль.  На  левобережье  водохранилища  организовано  и работает  муниципальное бюджетное учреждении «Парус» которое организовало круглогодичный отдых населения, в котором организованы  пешие  и  конные  летние  маршруты,  снегоходные   зимние  туристические  маршруты,  охота,  рыбалка,  сплавы. Также  возможна  организация  сплавных  маршрутов  по   таежным  рекам.   Река  Сисим  3-ей  категории  сложности,  протяженность  по  территории Балахтинского  района  80  км. Река Чулым,  равнинного  типа,  пригодна  для  сплава  на  всем  протяжении  по  территории  района.  Может  использоваться для  организации  детского  сплава.  Река  Дербина  протяженность  20-30 км.  от устья может  использоваться  также  для  сплавов  совместно  с  любительской  рыбной  ловлей. Живописные  места  по  побережью  Красноярского  водохранилища  и  привлекательные природные  ландшафты   заливов   дают  возможность  организации  водных  экскурсионных  маршрутов  с  заходом  в  заливы  на  малых  судах  и  лодках.  </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отраслями экономики района являются сельское хозяйство, топливная промышленность, пищевая промышленность, предоставление санаторно-курортных услуг, развитие рекреационной зоны на побережье Красноярского водохранилища.</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 Промышленность</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Промышленность в Балахтинском районе относится к числу отраслей, которые имеют экономический потенциал, согласно разрабатываемой стратегии развития района, благодаря богатым природным ресурсам, наличию предприятий угледобывающей промышленности и переработки сельскохозяйственной продукции.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0"/>
          <w:szCs w:val="20"/>
        </w:rPr>
        <w:t xml:space="preserve"> </w:t>
      </w:r>
      <w:r>
        <w:rPr>
          <w:rFonts w:ascii="Times New Roman CYR" w:hAnsi="Times New Roman CYR" w:cs="Times New Roman CYR"/>
          <w:sz w:val="28"/>
          <w:szCs w:val="28"/>
        </w:rPr>
        <w:t>Территория района богата природными ресурсами. Запасы полезных ископаемых в Балахтинском районе составляют: рассыпное золото – 0,6 тонны, уголь бурый – 2372,0, тыс. тонн, а также глина – 409 млн. кубометров, пески строительные – 171,0 млн.куб.м., цеолиты – 575 млн. тонн, природные облицовочные камни – более 2700,0 тыс.куб.м., флюорит – около 15 млн. тонн, торф – более 2000,0 тыс.тн.</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промышленности в экономике района составляет ежегодно от 28% до 30%. Рейтинг территории также составляют инвестиционные вложения промышленных предприятий.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Основные виды промышленной продукции на территории Балахтинского района представлены следующими видами экономической деятельности: добыча полезных ископаемых (уголь бурый, щебень и гравий), лесное </w:t>
      </w:r>
      <w:r>
        <w:rPr>
          <w:rFonts w:ascii="Times New Roman CYR" w:hAnsi="Times New Roman CYR" w:cs="Times New Roman CYR"/>
          <w:sz w:val="28"/>
          <w:szCs w:val="28"/>
        </w:rPr>
        <w:lastRenderedPageBreak/>
        <w:t xml:space="preserve">хозяйство (в части заготовки древесины), обрабатывающие производства (хлеб и хлебобулочные изделия, мясо, колбасные изделия, цельномолочная продукция, мука), электроэнергия, газ и вода.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Территория района расположена в пределах уни</w:t>
      </w:r>
      <w:r>
        <w:rPr>
          <w:rFonts w:ascii="Times New Roman CYR" w:hAnsi="Times New Roman CYR" w:cs="Times New Roman CYR"/>
          <w:sz w:val="28"/>
          <w:szCs w:val="28"/>
        </w:rPr>
        <w:softHyphen/>
        <w:t>кального Канско-Ачинского угольного бассейна. Общие ресурсы района по бурому углю оцениваются по разным источникам от 1,5 до 2,5 млрд. тонн. В настоящее время детально разведано Большесырское месторождение бурого угля. Уголь Большесырского месторождения по качеству является лучшим среди известных бурых углей.</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Запасы угля Большесырского месторождения составляют 150 млн.тонн, в том числе: участок "Восточный", участок "Новый" предприятия ООО «Сибуголь» и участок "Северный" - ООО "Ситипроф".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потребителями продукции, добываемой Большесырским разрезом ООО «Сибуголь» является население, бюджетные учреждения и коммунальные предприятия края. Производство современных автоматических котлов предполагает использование топлива класса 10-50 мм. Для удовлетворения потребностей в указанном топливе ООО «Сибуголь» были разработаны, запатентованы и введены в эксплуатацию две сортировки на участках «Новый» и «Восточный». Рассортированный уголь грузится в автотранспорт из-под конвейера, либо со склада погрузчиком.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потребителями угля ООО «Сибуголь» в России являются: АО "РУСАЛ Ачинск", КРАСЭКО, КЭСКО, КГУП «Примтеплоэнерго» (г.Владивосток), АО «Амурские коммунальные системы», МУП «Райтопсбыт» (Шира), ООО «УСК Сибиряк», ООО «Ужурское ЖКХ», сельхозпредприятия Балахтинского, Ужурского, Емельяновского, Новоселовского районов, Республики Хакасия, Якутия,Тыва. Экспортные направления: Китай, Польша, Венгрия, Сербия.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итогам работы за 2020 год получена прибыль на предприятии. Объем выручки от реализации за отчетный год составил 2,4 млрд. рублей (показатель увеличился на 1,7%).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Ind w:w="-34" w:type="dxa"/>
        <w:tblLayout w:type="fixed"/>
        <w:tblLook w:val="0000" w:firstRow="0" w:lastRow="0" w:firstColumn="0" w:lastColumn="0" w:noHBand="0" w:noVBand="0"/>
      </w:tblPr>
      <w:tblGrid>
        <w:gridCol w:w="1843"/>
        <w:gridCol w:w="1134"/>
        <w:gridCol w:w="851"/>
        <w:gridCol w:w="1074"/>
        <w:gridCol w:w="1134"/>
        <w:gridCol w:w="1134"/>
        <w:gridCol w:w="1276"/>
        <w:gridCol w:w="1036"/>
      </w:tblGrid>
      <w:tr w:rsidR="00D71F98">
        <w:tblPrEx>
          <w:tblCellMar>
            <w:top w:w="0" w:type="dxa"/>
            <w:bottom w:w="0" w:type="dxa"/>
          </w:tblCellMar>
        </w:tblPrEx>
        <w:trPr>
          <w:trHeight w:val="598"/>
        </w:trPr>
        <w:tc>
          <w:tcPr>
            <w:tcW w:w="1843" w:type="dxa"/>
            <w:tcBorders>
              <w:top w:val="single" w:sz="4" w:space="0" w:color="000000"/>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Наименование</w:t>
            </w:r>
          </w:p>
        </w:tc>
        <w:tc>
          <w:tcPr>
            <w:tcW w:w="1134"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Единицы измерения</w:t>
            </w:r>
          </w:p>
        </w:tc>
        <w:tc>
          <w:tcPr>
            <w:tcW w:w="851"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2019 г. отчет</w:t>
            </w:r>
          </w:p>
        </w:tc>
        <w:tc>
          <w:tcPr>
            <w:tcW w:w="1074"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2020 г.</w:t>
            </w:r>
          </w:p>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отчет</w:t>
            </w:r>
          </w:p>
        </w:tc>
        <w:tc>
          <w:tcPr>
            <w:tcW w:w="1134"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2021 г. оценка</w:t>
            </w:r>
          </w:p>
        </w:tc>
        <w:tc>
          <w:tcPr>
            <w:tcW w:w="1134"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2022 г. прогноз </w:t>
            </w:r>
          </w:p>
        </w:tc>
        <w:tc>
          <w:tcPr>
            <w:tcW w:w="1276"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2023 г. прогноз</w:t>
            </w:r>
          </w:p>
        </w:tc>
        <w:tc>
          <w:tcPr>
            <w:tcW w:w="1036"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2024 г. прогноз</w:t>
            </w:r>
          </w:p>
        </w:tc>
      </w:tr>
      <w:tr w:rsidR="00D71F98">
        <w:tblPrEx>
          <w:tblCellMar>
            <w:top w:w="0" w:type="dxa"/>
            <w:bottom w:w="0" w:type="dxa"/>
          </w:tblCellMar>
        </w:tblPrEx>
        <w:trPr>
          <w:trHeight w:val="427"/>
        </w:trPr>
        <w:tc>
          <w:tcPr>
            <w:tcW w:w="1843"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CA - Добыча топливно-энергетических полезных ископаемых</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851"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07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27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03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r>
      <w:tr w:rsidR="00D71F98">
        <w:tblPrEx>
          <w:tblCellMar>
            <w:top w:w="0" w:type="dxa"/>
            <w:bottom w:w="0" w:type="dxa"/>
          </w:tblCellMar>
        </w:tblPrEx>
        <w:trPr>
          <w:trHeight w:val="285"/>
        </w:trPr>
        <w:tc>
          <w:tcPr>
            <w:tcW w:w="1843"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 2035 - Уголь бурый *</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тыс.тонн</w:t>
            </w:r>
          </w:p>
        </w:tc>
        <w:tc>
          <w:tcPr>
            <w:tcW w:w="851"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2 372,0</w:t>
            </w:r>
          </w:p>
        </w:tc>
        <w:tc>
          <w:tcPr>
            <w:tcW w:w="107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2 412,0</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2 300,0</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2 305,0</w:t>
            </w:r>
          </w:p>
        </w:tc>
        <w:tc>
          <w:tcPr>
            <w:tcW w:w="127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2310,0</w:t>
            </w:r>
          </w:p>
        </w:tc>
        <w:tc>
          <w:tcPr>
            <w:tcW w:w="103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p>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2315,0</w:t>
            </w:r>
          </w:p>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p>
        </w:tc>
      </w:tr>
      <w:tr w:rsidR="00D71F98">
        <w:tblPrEx>
          <w:tblCellMar>
            <w:top w:w="0" w:type="dxa"/>
            <w:bottom w:w="0" w:type="dxa"/>
          </w:tblCellMar>
        </w:tblPrEx>
        <w:trPr>
          <w:trHeight w:val="285"/>
        </w:trPr>
        <w:tc>
          <w:tcPr>
            <w:tcW w:w="1843"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Балахтинский филиал ООО "Сибуголь"</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тыс.тонн</w:t>
            </w:r>
          </w:p>
        </w:tc>
        <w:tc>
          <w:tcPr>
            <w:tcW w:w="851"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2 372,0</w:t>
            </w:r>
          </w:p>
        </w:tc>
        <w:tc>
          <w:tcPr>
            <w:tcW w:w="107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2 412,0</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2 300,0</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2 305,0</w:t>
            </w:r>
          </w:p>
        </w:tc>
        <w:tc>
          <w:tcPr>
            <w:tcW w:w="127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2310,0</w:t>
            </w:r>
          </w:p>
        </w:tc>
        <w:tc>
          <w:tcPr>
            <w:tcW w:w="103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p>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2315,0</w:t>
            </w:r>
          </w:p>
          <w:p w:rsidR="00D71F98" w:rsidRDefault="00D71F98">
            <w:pPr>
              <w:autoSpaceDE w:val="0"/>
              <w:autoSpaceDN w:val="0"/>
              <w:adjustRightInd w:val="0"/>
              <w:spacing w:after="0" w:line="240" w:lineRule="auto"/>
              <w:jc w:val="center"/>
              <w:rPr>
                <w:rFonts w:ascii="Times New Roman CYR" w:hAnsi="Times New Roman CYR" w:cs="Times New Roman CYR"/>
                <w:sz w:val="20"/>
                <w:szCs w:val="20"/>
              </w:rPr>
            </w:pPr>
          </w:p>
        </w:tc>
      </w:tr>
    </w:tbl>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балансом не учтены Кызыкчульское и Ровненское месторожде</w:t>
      </w:r>
      <w:r>
        <w:rPr>
          <w:rFonts w:ascii="Times New Roman CYR" w:hAnsi="Times New Roman CYR" w:cs="Times New Roman CYR"/>
          <w:sz w:val="28"/>
          <w:szCs w:val="28"/>
        </w:rPr>
        <w:softHyphen/>
        <w:t xml:space="preserve">ния бурого угля с прогнозными ресурсами категории Р1- 379 млн.т и Р2 - 604 млн.т. На территории района известно Пашенское проявление бурого угля с прогнозными ресурсами категории Р2 - 298 млн.т. </w:t>
      </w:r>
    </w:p>
    <w:p w:rsidR="00D71F98" w:rsidRDefault="00D71F98">
      <w:pPr>
        <w:widowControl w:val="0"/>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В районе имеются месторождения цеолитов, урана, глин и суглинков легкоплавких для производства кирпича, глин огнеупорных, песчано-гравийных материалов, камня строительного, поделочных камней, карбонатных пород для строительной извести.</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и оценка перспективных участков месторождений на территории района, обнаруженных при проведении геохимических поисков, позволяет предполагать добычу рудного золота и флюоритов.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проведенных работ были определены наиболее перспективные участки для дальнейшего развития горнодобывающей промышленности:</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месторождение р. Налимья (геологическое изучение и добыча россыпного золота, ООО «Саяны») – в настоящее время заканчивается разработка предоставленного лицензией участка недр. Финансирование работ – за счет инвестора ООО «Саяны»;</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Бюзинская площадь - геологическое изучение и добыча россыпного золота на (ООО «Бюза»).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Нижнеберезовская флюоритоносная площадь (добыча плавиковошпатовой руды ООО «Минерал»). Финансирование работ – за счет инвестора ООО «Минерал».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Разработка вышеуказанных месторождений позволит в дальнейшем развивать горнодобывающую промышленность, которая может стать альтернативным направлением развития района.</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 в 2020 году составил 1 389,3 млн.руб., что ниже уровня 2019 года на 2,2%. Темп роста, соответственно по разделу В – 97,8%. По предварительным данным предприятий угледобывающей отрасли в 2021 году запланирован рост показателя на 12%, на плановый период 2022 – 2024 гг. увеличение планируется в среднем на 4,4 %.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Индекс производства по разделу В, в частности по добыче угля, в 2020 году к соответствующему периоду 2019 года составил 102%.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 числу месторождений Балахтинского района относится также уникальный источник минеральных питьевых лечебных и лечебно-столовых вод, который эксплуатируется санаторием «Красноярское Загорье». Крупнейший курорт Восточной Сибири - готовая комфортная база для размещения туристов, является объектом туристического притяжения. Идеален как для восстановления здоровья, так и для индивидуального и семейного отдыха. Месторождение минеральной воды позволяет лечить заболевания сердечно-сосудистой системы, желудочно-кишечного тракта, эндокринной системы, астенические неврозы.</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Территория района покрыта лесами на площади 674317 га, из них 578447 га составляют леса бывшего гослесфонда и 95849 га леса, ранее находившиеся во владении сельскохозяйственных организаций.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Наличие расчетной лесосеки в объеме 1,1 млн. куб. метров, в т.ч. по хвойному хозяйству около 300 тыс. куб. метров указывает на немалый лесосырьевой потенциал района. Деятельность осуществляют Балахтинское и Даурское лесничества.</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части предоставления услуг в области лесного хозяйства район представлен ООО «Талгат», индивидуальными предпринимателями Спириной Е.Д., Аксеновым С.А., Антоновой А.А., Белясовой Т.И. и др. Основная же масса мелких лесозаготовительных предприятий района, занимающихся лесозаготовками на левобережье имеют возможность заготовки древесины только по договорам подряда с арендаторами либо в качестве привлеченных третьих лиц.</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опыт передовых лесопромышленных стран, улучшение состояния лесопользования может быть достигнуто только при наличии развитой лесоперерабатывающей промышленности, выпускающей продукцию с высокой добавленной стоимостью, что, в итоге, может существенно снизить влияние географического фактора. По этому пути пытается идти ООО «Талгат»,</w:t>
      </w:r>
      <w:r>
        <w:rPr>
          <w:rFonts w:ascii="Cambria" w:hAnsi="Cambria" w:cs="Cambria"/>
          <w:sz w:val="28"/>
          <w:szCs w:val="28"/>
        </w:rPr>
        <w:t xml:space="preserve"> </w:t>
      </w:r>
      <w:r>
        <w:rPr>
          <w:rFonts w:ascii="Times New Roman CYR" w:hAnsi="Times New Roman CYR" w:cs="Times New Roman CYR"/>
          <w:sz w:val="28"/>
          <w:szCs w:val="28"/>
        </w:rPr>
        <w:t>установивший на своем лесоперерабатывающем заводе в п. Черемушки современное лесопильное и лесосушильное оборудование, позволяющее производить продукцию, отвечающую международным стандартам качества.</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 в 2020 году составил 41,12 млн.руб. Значительный рост показателя в 2019 году по отношению к показателю 2018 году обусловлен тем, что в 2019 году были учтены показатели предприятия ООО «Талгат». Соответственно из-за показателей данного предприятия произошло значительное изменение показателя, только в отрицательном значении, в 2020 году по отношению к 2019 году на 36,17% (снижение по объему отгруженных товаров ООО «Талгат» составило 85,6%).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Обрабатывающие производства представлены следующими предприятиями: ЗАО «Приморье» перерабатывает продукты растениеводства (хлеб и хлебобулочные изделия), ЗАО «Сибирь» - предприятие имеет самое крупное поголовье крупного рогатого скота в районе и модульный молочный завод в п.Балахта, перерабатывающий молоко в молочную продукцию (сливки, сметана, масло, творог, сыр), ОАО «Красное» перерабатывает продукцию своей основной деятельности - растениеводство, ООО СХП «Балахтинский торговый дом», занимающееся выпечкой хлеба и хлебобулочных изделий, а также производством муки, ИП Передельский В.З - закуп и переработка мяса (в том числе колбасные изделия).</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 в 2020 году составил 426,4 млн.руб., что выше уровня 2019 года на 22%.</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Индекс производства, к соответствующему периоду предыдущего года составил 97,8%.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 в 2020 году составил 86,12 млн.руб. Темп роста относительно прошлого отчетного периода составил 110,6%.</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p>
    <w:p w:rsidR="00D71F98" w:rsidRDefault="00D71F98" w:rsidP="004B25F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 в отчетном году – 7,24 млн.руб., что выше уровня 2019 года на 17,5%. При этом индекс производства по разделу составил 95,8%.   </w:t>
      </w:r>
    </w:p>
    <w:p w:rsidR="004B25FE" w:rsidRPr="004B25FE" w:rsidRDefault="004B25FE" w:rsidP="004B25FE">
      <w:pPr>
        <w:autoSpaceDE w:val="0"/>
        <w:autoSpaceDN w:val="0"/>
        <w:adjustRightInd w:val="0"/>
        <w:spacing w:after="0" w:line="240" w:lineRule="auto"/>
        <w:ind w:firstLine="708"/>
        <w:jc w:val="both"/>
        <w:rPr>
          <w:rFonts w:ascii="Times New Roman CYR" w:hAnsi="Times New Roman CYR" w:cs="Times New Roman CYR"/>
          <w:sz w:val="28"/>
          <w:szCs w:val="28"/>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B25FE" w:rsidRPr="004B25FE"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 Сельское хозяйство</w:t>
      </w: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3.1. Растениеводство</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Сельскохозяйственное производство (растениеводство)</w:t>
      </w:r>
    </w:p>
    <w:p w:rsidR="00D71F98" w:rsidRDefault="00D71F98">
      <w:pPr>
        <w:autoSpaceDE w:val="0"/>
        <w:autoSpaceDN w:val="0"/>
        <w:adjustRightInd w:val="0"/>
        <w:spacing w:after="0" w:line="240" w:lineRule="auto"/>
        <w:jc w:val="center"/>
        <w:rPr>
          <w:rFonts w:ascii="Times New Roman CYR" w:hAnsi="Times New Roman CYR" w:cs="Times New Roman CYR"/>
          <w:b/>
          <w:bCs/>
          <w:sz w:val="24"/>
          <w:szCs w:val="24"/>
          <w:highlight w:val="yellow"/>
        </w:rPr>
      </w:pPr>
    </w:p>
    <w:p w:rsidR="00D71F98" w:rsidRPr="004B25FE" w:rsidRDefault="00D71F98">
      <w:pPr>
        <w:autoSpaceDE w:val="0"/>
        <w:autoSpaceDN w:val="0"/>
        <w:adjustRightInd w:val="0"/>
        <w:spacing w:after="0" w:line="276" w:lineRule="auto"/>
        <w:jc w:val="both"/>
        <w:rPr>
          <w:rFonts w:ascii="Times New Roman CYR" w:hAnsi="Times New Roman CYR" w:cs="Times New Roman CYR"/>
          <w:sz w:val="28"/>
          <w:szCs w:val="28"/>
        </w:rPr>
      </w:pPr>
      <w:r>
        <w:rPr>
          <w:rFonts w:ascii="Times New Roman CYR" w:hAnsi="Times New Roman CYR" w:cs="Times New Roman CYR"/>
          <w:sz w:val="24"/>
          <w:szCs w:val="24"/>
        </w:rPr>
        <w:t xml:space="preserve">    </w:t>
      </w:r>
      <w:r w:rsidRPr="004B25FE">
        <w:rPr>
          <w:rFonts w:ascii="Times New Roman CYR" w:hAnsi="Times New Roman CYR" w:cs="Times New Roman CYR"/>
          <w:sz w:val="28"/>
          <w:szCs w:val="28"/>
        </w:rPr>
        <w:t xml:space="preserve">Фактором, определяющим динамику выпуска продукции в растениеводстве, станет наращивание производства зерновых культур.      </w:t>
      </w:r>
    </w:p>
    <w:p w:rsidR="00D71F98" w:rsidRPr="004B25FE" w:rsidRDefault="00D71F98">
      <w:pPr>
        <w:autoSpaceDE w:val="0"/>
        <w:autoSpaceDN w:val="0"/>
        <w:adjustRightInd w:val="0"/>
        <w:spacing w:after="0" w:line="240" w:lineRule="auto"/>
        <w:ind w:firstLine="426"/>
        <w:jc w:val="both"/>
        <w:rPr>
          <w:rFonts w:ascii="Times New Roman CYR" w:hAnsi="Times New Roman CYR" w:cs="Times New Roman CYR"/>
          <w:i/>
          <w:iCs/>
          <w:sz w:val="28"/>
          <w:szCs w:val="28"/>
        </w:rPr>
      </w:pPr>
      <w:r w:rsidRPr="004B25FE">
        <w:rPr>
          <w:rFonts w:ascii="Times New Roman CYR" w:hAnsi="Times New Roman CYR" w:cs="Times New Roman CYR"/>
          <w:sz w:val="28"/>
          <w:szCs w:val="28"/>
        </w:rPr>
        <w:t>По результатам производственно-финансовой деятельности двадцати двух сельскохозяйственных организаций выручка от реализации сельскохозяйственной продукции, работ и услуг за 2020 год составила 2458,3 млн.рублей.</w:t>
      </w:r>
    </w:p>
    <w:p w:rsidR="00D71F98" w:rsidRPr="004B25FE" w:rsidRDefault="00D71F98">
      <w:pPr>
        <w:autoSpaceDE w:val="0"/>
        <w:autoSpaceDN w:val="0"/>
        <w:adjustRightInd w:val="0"/>
        <w:spacing w:after="0" w:line="240" w:lineRule="auto"/>
        <w:ind w:firstLine="426"/>
        <w:jc w:val="both"/>
        <w:rPr>
          <w:rFonts w:ascii="Times New Roman CYR" w:hAnsi="Times New Roman CYR" w:cs="Times New Roman CYR"/>
          <w:sz w:val="28"/>
          <w:szCs w:val="28"/>
        </w:rPr>
      </w:pPr>
      <w:r w:rsidRPr="004B25FE">
        <w:rPr>
          <w:rFonts w:ascii="Times New Roman CYR" w:hAnsi="Times New Roman CYR" w:cs="Times New Roman CYR"/>
          <w:sz w:val="28"/>
          <w:szCs w:val="28"/>
        </w:rPr>
        <w:t>Увеличение валового сбора продукции растениеводства будет достигнуто за счет повышения плодородия почвы и продуктивности сельскохозяйственных культур за счет применения минеральных удобрений, химических средств защиты растений, создания и внедрения в производство высокоурожайных , устойчивых к болезням и вредителям сельскохозяйственных культур.</w:t>
      </w:r>
    </w:p>
    <w:p w:rsidR="00D71F98" w:rsidRPr="004B25FE" w:rsidRDefault="00D71F98">
      <w:pPr>
        <w:autoSpaceDE w:val="0"/>
        <w:autoSpaceDN w:val="0"/>
        <w:adjustRightInd w:val="0"/>
        <w:spacing w:after="0" w:line="240" w:lineRule="auto"/>
        <w:ind w:firstLine="851"/>
        <w:jc w:val="both"/>
        <w:rPr>
          <w:rFonts w:ascii="Times New Roman CYR" w:hAnsi="Times New Roman CYR" w:cs="Times New Roman CYR"/>
          <w:sz w:val="28"/>
          <w:szCs w:val="28"/>
        </w:rPr>
      </w:pPr>
      <w:r w:rsidRPr="004B25FE">
        <w:rPr>
          <w:rFonts w:ascii="Times New Roman CYR" w:hAnsi="Times New Roman CYR" w:cs="Times New Roman CYR"/>
          <w:sz w:val="28"/>
          <w:szCs w:val="28"/>
        </w:rPr>
        <w:t xml:space="preserve">Общий объем произведенных товаров, выполненных работ и услуг собственными силами по всем хозяйствам района (растениеводство) 2020году составил  3258,9 млн. руб., в 2021 году планируется 3095,1 млн. руб., в 2022 году 3209,2 млн. руб., в 2023- 3351,8 млн. руб., в 2024 – 3509,4 млн. руб. </w:t>
      </w:r>
    </w:p>
    <w:p w:rsidR="00D71F98" w:rsidRPr="004B25FE" w:rsidRDefault="00D71F98">
      <w:pPr>
        <w:autoSpaceDE w:val="0"/>
        <w:autoSpaceDN w:val="0"/>
        <w:adjustRightInd w:val="0"/>
        <w:spacing w:after="0" w:line="240" w:lineRule="auto"/>
        <w:ind w:firstLine="851"/>
        <w:jc w:val="both"/>
        <w:rPr>
          <w:rFonts w:ascii="Times New Roman CYR" w:hAnsi="Times New Roman CYR" w:cs="Times New Roman CYR"/>
          <w:sz w:val="28"/>
          <w:szCs w:val="28"/>
        </w:rPr>
      </w:pPr>
      <w:r w:rsidRPr="004B25FE">
        <w:rPr>
          <w:rFonts w:ascii="Times New Roman CYR" w:hAnsi="Times New Roman CYR" w:cs="Times New Roman CYR"/>
          <w:sz w:val="28"/>
          <w:szCs w:val="28"/>
        </w:rPr>
        <w:t xml:space="preserve">Индекс производства сельскохозяйственными предприятиями  составляет: к уровню 2020 года 109,7 % к уровню 2021 года – 90,6 %, к уровню 2022 года планируется  100,5%,  к уровню в 2023 года 100,4  %, к уровню 2024 года -100,5 %. </w:t>
      </w:r>
    </w:p>
    <w:p w:rsidR="00D71F98" w:rsidRPr="004B25FE" w:rsidRDefault="00D71F98">
      <w:pPr>
        <w:autoSpaceDE w:val="0"/>
        <w:autoSpaceDN w:val="0"/>
        <w:adjustRightInd w:val="0"/>
        <w:spacing w:after="0" w:line="240" w:lineRule="auto"/>
        <w:ind w:firstLine="851"/>
        <w:jc w:val="both"/>
        <w:rPr>
          <w:rFonts w:ascii="Times New Roman CYR" w:hAnsi="Times New Roman CYR" w:cs="Times New Roman CYR"/>
          <w:sz w:val="28"/>
          <w:szCs w:val="28"/>
        </w:rPr>
      </w:pPr>
      <w:r w:rsidRPr="004B25FE">
        <w:rPr>
          <w:rFonts w:ascii="Times New Roman CYR" w:hAnsi="Times New Roman CYR" w:cs="Times New Roman CYR"/>
          <w:sz w:val="28"/>
          <w:szCs w:val="28"/>
        </w:rPr>
        <w:t>Динамика натуральных показателей сельскохозяйственного производства представлена в таблице 3.</w:t>
      </w:r>
    </w:p>
    <w:p w:rsidR="00D71F98" w:rsidRDefault="00D71F98">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Показатели сельскохозяйственного производства</w:t>
      </w:r>
    </w:p>
    <w:p w:rsidR="00D71F98" w:rsidRDefault="00D71F98">
      <w:pPr>
        <w:autoSpaceDE w:val="0"/>
        <w:autoSpaceDN w:val="0"/>
        <w:adjustRightInd w:val="0"/>
        <w:spacing w:after="0" w:line="240" w:lineRule="auto"/>
        <w:ind w:firstLine="851"/>
        <w:jc w:val="right"/>
        <w:rPr>
          <w:rFonts w:ascii="Times New Roman CYR" w:hAnsi="Times New Roman CYR" w:cs="Times New Roman CYR"/>
          <w:sz w:val="20"/>
          <w:szCs w:val="20"/>
        </w:rPr>
      </w:pPr>
      <w:r>
        <w:rPr>
          <w:rFonts w:ascii="Times New Roman CYR" w:hAnsi="Times New Roman CYR" w:cs="Times New Roman CYR"/>
          <w:sz w:val="20"/>
          <w:szCs w:val="20"/>
        </w:rPr>
        <w:t>Таблица 3</w:t>
      </w:r>
    </w:p>
    <w:tbl>
      <w:tblPr>
        <w:tblW w:w="0" w:type="auto"/>
        <w:jc w:val="center"/>
        <w:tblLayout w:type="fixed"/>
        <w:tblLook w:val="0000" w:firstRow="0" w:lastRow="0" w:firstColumn="0" w:lastColumn="0" w:noHBand="0" w:noVBand="0"/>
      </w:tblPr>
      <w:tblGrid>
        <w:gridCol w:w="2158"/>
        <w:gridCol w:w="1276"/>
        <w:gridCol w:w="1134"/>
        <w:gridCol w:w="992"/>
        <w:gridCol w:w="1164"/>
        <w:gridCol w:w="1163"/>
        <w:gridCol w:w="1246"/>
        <w:gridCol w:w="1189"/>
      </w:tblGrid>
      <w:tr w:rsidR="00D71F98">
        <w:tblPrEx>
          <w:tblCellMar>
            <w:top w:w="0" w:type="dxa"/>
            <w:bottom w:w="0" w:type="dxa"/>
          </w:tblCellMar>
        </w:tblPrEx>
        <w:trPr>
          <w:trHeight w:val="784"/>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Наименование показателя</w:t>
            </w:r>
          </w:p>
        </w:tc>
        <w:tc>
          <w:tcPr>
            <w:tcW w:w="1276"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37" w:right="-10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Единицы измерения</w:t>
            </w:r>
          </w:p>
        </w:tc>
        <w:tc>
          <w:tcPr>
            <w:tcW w:w="1134"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right="-63"/>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2019 Отчет</w:t>
            </w:r>
          </w:p>
        </w:tc>
        <w:tc>
          <w:tcPr>
            <w:tcW w:w="992"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2020 Отчет</w:t>
            </w:r>
          </w:p>
        </w:tc>
        <w:tc>
          <w:tcPr>
            <w:tcW w:w="1164"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2021 Оценка</w:t>
            </w:r>
          </w:p>
        </w:tc>
        <w:tc>
          <w:tcPr>
            <w:tcW w:w="1163"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2022 Прогноз вариант 2</w:t>
            </w:r>
          </w:p>
        </w:tc>
        <w:tc>
          <w:tcPr>
            <w:tcW w:w="1246"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2023 Прогноз вариант 2</w:t>
            </w:r>
          </w:p>
        </w:tc>
        <w:tc>
          <w:tcPr>
            <w:tcW w:w="1189"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2024 Прогноз вариант 2</w:t>
            </w:r>
          </w:p>
        </w:tc>
      </w:tr>
      <w:tr w:rsidR="00D71F98">
        <w:tblPrEx>
          <w:tblCellMar>
            <w:top w:w="0" w:type="dxa"/>
            <w:bottom w:w="0" w:type="dxa"/>
          </w:tblCellMar>
        </w:tblPrEx>
        <w:trPr>
          <w:trHeight w:val="541"/>
          <w:jc w:val="center"/>
        </w:trPr>
        <w:tc>
          <w:tcPr>
            <w:tcW w:w="2158"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зерна (в весе после доработки)</w:t>
            </w:r>
          </w:p>
        </w:tc>
        <w:tc>
          <w:tcPr>
            <w:tcW w:w="127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тн</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53"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145032,92</w:t>
            </w:r>
          </w:p>
        </w:tc>
        <w:tc>
          <w:tcPr>
            <w:tcW w:w="992"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37" w:right="-7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183288,92</w:t>
            </w:r>
          </w:p>
        </w:tc>
        <w:tc>
          <w:tcPr>
            <w:tcW w:w="116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148659,00</w:t>
            </w:r>
          </w:p>
        </w:tc>
        <w:tc>
          <w:tcPr>
            <w:tcW w:w="116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149105,00</w:t>
            </w:r>
          </w:p>
        </w:tc>
        <w:tc>
          <w:tcPr>
            <w:tcW w:w="124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149554,5</w:t>
            </w:r>
          </w:p>
        </w:tc>
        <w:tc>
          <w:tcPr>
            <w:tcW w:w="1189"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150052,00</w:t>
            </w:r>
          </w:p>
        </w:tc>
      </w:tr>
      <w:tr w:rsidR="00D71F98">
        <w:tblPrEx>
          <w:tblCellMar>
            <w:top w:w="0" w:type="dxa"/>
            <w:bottom w:w="0" w:type="dxa"/>
          </w:tblCellMar>
        </w:tblPrEx>
        <w:trPr>
          <w:trHeight w:val="421"/>
          <w:jc w:val="center"/>
        </w:trPr>
        <w:tc>
          <w:tcPr>
            <w:tcW w:w="2158"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картофеля</w:t>
            </w:r>
          </w:p>
        </w:tc>
        <w:tc>
          <w:tcPr>
            <w:tcW w:w="127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тн</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53"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9711,35</w:t>
            </w:r>
          </w:p>
        </w:tc>
        <w:tc>
          <w:tcPr>
            <w:tcW w:w="992"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37" w:right="-7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9499,5</w:t>
            </w:r>
          </w:p>
        </w:tc>
        <w:tc>
          <w:tcPr>
            <w:tcW w:w="116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9955,47</w:t>
            </w:r>
          </w:p>
        </w:tc>
        <w:tc>
          <w:tcPr>
            <w:tcW w:w="116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10155,57</w:t>
            </w:r>
          </w:p>
        </w:tc>
        <w:tc>
          <w:tcPr>
            <w:tcW w:w="124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10358,68</w:t>
            </w:r>
          </w:p>
        </w:tc>
        <w:tc>
          <w:tcPr>
            <w:tcW w:w="1189"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10565,8</w:t>
            </w:r>
          </w:p>
        </w:tc>
      </w:tr>
      <w:tr w:rsidR="00D71F98">
        <w:tblPrEx>
          <w:tblCellMar>
            <w:top w:w="0" w:type="dxa"/>
            <w:bottom w:w="0" w:type="dxa"/>
          </w:tblCellMar>
        </w:tblPrEx>
        <w:trPr>
          <w:trHeight w:val="413"/>
          <w:jc w:val="center"/>
        </w:trPr>
        <w:tc>
          <w:tcPr>
            <w:tcW w:w="2158"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овощей</w:t>
            </w:r>
          </w:p>
        </w:tc>
        <w:tc>
          <w:tcPr>
            <w:tcW w:w="127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тн</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53"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1421,87</w:t>
            </w:r>
          </w:p>
        </w:tc>
        <w:tc>
          <w:tcPr>
            <w:tcW w:w="992"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37" w:right="-7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1424,76</w:t>
            </w:r>
          </w:p>
        </w:tc>
        <w:tc>
          <w:tcPr>
            <w:tcW w:w="116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1493,10</w:t>
            </w:r>
          </w:p>
        </w:tc>
        <w:tc>
          <w:tcPr>
            <w:tcW w:w="116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1523,11</w:t>
            </w:r>
          </w:p>
        </w:tc>
        <w:tc>
          <w:tcPr>
            <w:tcW w:w="124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1553,6</w:t>
            </w:r>
          </w:p>
        </w:tc>
        <w:tc>
          <w:tcPr>
            <w:tcW w:w="1189"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1584,7</w:t>
            </w:r>
          </w:p>
        </w:tc>
      </w:tr>
      <w:tr w:rsidR="00D71F98">
        <w:tblPrEx>
          <w:tblCellMar>
            <w:top w:w="0" w:type="dxa"/>
            <w:bottom w:w="0" w:type="dxa"/>
          </w:tblCellMar>
        </w:tblPrEx>
        <w:trPr>
          <w:trHeight w:val="547"/>
          <w:jc w:val="center"/>
        </w:trPr>
        <w:tc>
          <w:tcPr>
            <w:tcW w:w="2158"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Урожайность зерновых культур</w:t>
            </w:r>
          </w:p>
        </w:tc>
        <w:tc>
          <w:tcPr>
            <w:tcW w:w="127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ц/га</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53"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20,9</w:t>
            </w:r>
          </w:p>
        </w:tc>
        <w:tc>
          <w:tcPr>
            <w:tcW w:w="992"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37" w:right="-7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26,6</w:t>
            </w:r>
          </w:p>
        </w:tc>
        <w:tc>
          <w:tcPr>
            <w:tcW w:w="116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22,87</w:t>
            </w:r>
          </w:p>
        </w:tc>
        <w:tc>
          <w:tcPr>
            <w:tcW w:w="116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23,33</w:t>
            </w:r>
          </w:p>
        </w:tc>
        <w:tc>
          <w:tcPr>
            <w:tcW w:w="124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23,80</w:t>
            </w:r>
          </w:p>
        </w:tc>
        <w:tc>
          <w:tcPr>
            <w:tcW w:w="1189"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24,28</w:t>
            </w:r>
          </w:p>
        </w:tc>
      </w:tr>
      <w:tr w:rsidR="00D71F98">
        <w:tblPrEx>
          <w:tblCellMar>
            <w:top w:w="0" w:type="dxa"/>
            <w:bottom w:w="0" w:type="dxa"/>
          </w:tblCellMar>
        </w:tblPrEx>
        <w:trPr>
          <w:trHeight w:val="427"/>
          <w:jc w:val="center"/>
        </w:trPr>
        <w:tc>
          <w:tcPr>
            <w:tcW w:w="2158"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Урожайность картофеля</w:t>
            </w:r>
          </w:p>
        </w:tc>
        <w:tc>
          <w:tcPr>
            <w:tcW w:w="127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ц/га</w:t>
            </w:r>
          </w:p>
        </w:tc>
        <w:tc>
          <w:tcPr>
            <w:tcW w:w="113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53" w:right="-79"/>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196,7</w:t>
            </w:r>
          </w:p>
        </w:tc>
        <w:tc>
          <w:tcPr>
            <w:tcW w:w="992"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ind w:left="-137" w:right="-78"/>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180,6</w:t>
            </w:r>
          </w:p>
        </w:tc>
        <w:tc>
          <w:tcPr>
            <w:tcW w:w="1164"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189,27</w:t>
            </w:r>
          </w:p>
        </w:tc>
        <w:tc>
          <w:tcPr>
            <w:tcW w:w="116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193,07</w:t>
            </w:r>
          </w:p>
        </w:tc>
        <w:tc>
          <w:tcPr>
            <w:tcW w:w="1246"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197,00</w:t>
            </w:r>
          </w:p>
        </w:tc>
        <w:tc>
          <w:tcPr>
            <w:tcW w:w="1189"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201,00</w:t>
            </w:r>
          </w:p>
        </w:tc>
      </w:tr>
    </w:tbl>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4B25FE" w:rsidRDefault="004B25FE">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3.2 Животноводство</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Pr="004B25FE" w:rsidRDefault="00D71F98">
      <w:pPr>
        <w:autoSpaceDE w:val="0"/>
        <w:autoSpaceDN w:val="0"/>
        <w:adjustRightInd w:val="0"/>
        <w:spacing w:after="0" w:line="240" w:lineRule="auto"/>
        <w:jc w:val="center"/>
        <w:rPr>
          <w:rFonts w:ascii="Times New Roman CYR" w:hAnsi="Times New Roman CYR" w:cs="Times New Roman CYR"/>
          <w:b/>
          <w:bCs/>
          <w:sz w:val="28"/>
          <w:szCs w:val="28"/>
        </w:rPr>
      </w:pPr>
      <w:r w:rsidRPr="004B25FE">
        <w:rPr>
          <w:rFonts w:ascii="Times New Roman CYR" w:hAnsi="Times New Roman CYR" w:cs="Times New Roman CYR"/>
          <w:b/>
          <w:bCs/>
          <w:sz w:val="28"/>
          <w:szCs w:val="28"/>
        </w:rPr>
        <w:t>Сельскохозяйственное производство</w:t>
      </w:r>
    </w:p>
    <w:p w:rsidR="00D71F98" w:rsidRPr="004B25FE" w:rsidRDefault="00D71F98">
      <w:pPr>
        <w:autoSpaceDE w:val="0"/>
        <w:autoSpaceDN w:val="0"/>
        <w:adjustRightInd w:val="0"/>
        <w:spacing w:after="0" w:line="240" w:lineRule="auto"/>
        <w:jc w:val="center"/>
        <w:rPr>
          <w:rFonts w:ascii="Times New Roman CYR" w:hAnsi="Times New Roman CYR" w:cs="Times New Roman CYR"/>
          <w:b/>
          <w:bCs/>
          <w:sz w:val="28"/>
          <w:szCs w:val="28"/>
        </w:rPr>
      </w:pPr>
    </w:p>
    <w:p w:rsidR="00D71F98" w:rsidRPr="004B25FE" w:rsidRDefault="00D71F98">
      <w:pPr>
        <w:autoSpaceDE w:val="0"/>
        <w:autoSpaceDN w:val="0"/>
        <w:adjustRightInd w:val="0"/>
        <w:spacing w:after="0" w:line="276" w:lineRule="auto"/>
        <w:jc w:val="both"/>
        <w:rPr>
          <w:rFonts w:ascii="Times New Roman CYR" w:hAnsi="Times New Roman CYR" w:cs="Times New Roman CYR"/>
          <w:sz w:val="28"/>
          <w:szCs w:val="28"/>
        </w:rPr>
      </w:pPr>
      <w:r w:rsidRPr="004B25FE">
        <w:rPr>
          <w:rFonts w:ascii="Times New Roman CYR" w:hAnsi="Times New Roman CYR" w:cs="Times New Roman CYR"/>
          <w:sz w:val="28"/>
          <w:szCs w:val="28"/>
        </w:rPr>
        <w:t xml:space="preserve">      Комплексное развитие и повышение эффективности производства животноводческой продукции будет являться основным направлением агропромышленной политики на  предстоящий трехлетний период. Увеличению объема производства продукции животноводства будет способствовать строительство и модернизация животноводческих комплексов,       </w:t>
      </w:r>
    </w:p>
    <w:p w:rsidR="00D71F98" w:rsidRPr="004B25FE" w:rsidRDefault="00D71F98">
      <w:pPr>
        <w:autoSpaceDE w:val="0"/>
        <w:autoSpaceDN w:val="0"/>
        <w:adjustRightInd w:val="0"/>
        <w:spacing w:after="0" w:line="240" w:lineRule="auto"/>
        <w:ind w:firstLine="426"/>
        <w:jc w:val="both"/>
        <w:rPr>
          <w:rFonts w:ascii="Times New Roman CYR" w:hAnsi="Times New Roman CYR" w:cs="Times New Roman CYR"/>
          <w:i/>
          <w:iCs/>
          <w:sz w:val="28"/>
          <w:szCs w:val="28"/>
        </w:rPr>
      </w:pPr>
      <w:r w:rsidRPr="004B25FE">
        <w:rPr>
          <w:rFonts w:ascii="Times New Roman CYR" w:hAnsi="Times New Roman CYR" w:cs="Times New Roman CYR"/>
          <w:sz w:val="28"/>
          <w:szCs w:val="28"/>
        </w:rPr>
        <w:t>По результатам производственно-финансовой деятельности двадцати двух сельскохозяйственных организаций выручка от реализации сельскохозяйственной продукции, работ и услуг за 2020 год составила 2458,3 млн.рублей.</w:t>
      </w:r>
    </w:p>
    <w:p w:rsidR="00D71F98" w:rsidRPr="004B25FE" w:rsidRDefault="00D71F98">
      <w:pPr>
        <w:autoSpaceDE w:val="0"/>
        <w:autoSpaceDN w:val="0"/>
        <w:adjustRightInd w:val="0"/>
        <w:spacing w:after="0" w:line="240" w:lineRule="auto"/>
        <w:ind w:firstLine="851"/>
        <w:jc w:val="both"/>
        <w:rPr>
          <w:rFonts w:ascii="Times New Roman CYR" w:hAnsi="Times New Roman CYR" w:cs="Times New Roman CYR"/>
          <w:sz w:val="28"/>
          <w:szCs w:val="28"/>
        </w:rPr>
      </w:pPr>
      <w:r w:rsidRPr="004B25FE">
        <w:rPr>
          <w:rFonts w:ascii="Times New Roman CYR" w:hAnsi="Times New Roman CYR" w:cs="Times New Roman CYR"/>
          <w:sz w:val="28"/>
          <w:szCs w:val="28"/>
        </w:rPr>
        <w:t>Поголовье крупного рогатого скота в 2020 году  понизилось  на 0,9 % и составило 12745 гол. В перспективе планируется увеличение поголовья и доведение его к концу  2024 года до12750 голов.</w:t>
      </w:r>
    </w:p>
    <w:p w:rsidR="00D71F98" w:rsidRPr="004B25FE" w:rsidRDefault="00D71F98">
      <w:pPr>
        <w:tabs>
          <w:tab w:val="left" w:pos="851"/>
        </w:tabs>
        <w:autoSpaceDE w:val="0"/>
        <w:autoSpaceDN w:val="0"/>
        <w:adjustRightInd w:val="0"/>
        <w:spacing w:after="120" w:line="240" w:lineRule="auto"/>
        <w:jc w:val="both"/>
        <w:rPr>
          <w:rFonts w:ascii="Times New Roman CYR" w:hAnsi="Times New Roman CYR" w:cs="Times New Roman CYR"/>
          <w:sz w:val="28"/>
          <w:szCs w:val="28"/>
        </w:rPr>
      </w:pPr>
      <w:r w:rsidRPr="004B25FE">
        <w:rPr>
          <w:rFonts w:ascii="Times New Roman CYR" w:hAnsi="Times New Roman CYR" w:cs="Times New Roman CYR"/>
          <w:sz w:val="28"/>
          <w:szCs w:val="28"/>
        </w:rPr>
        <w:t xml:space="preserve">            В перспективе планируется за  счет проведения ряда мероприятий по улучшению показателей воспроизводства стада и  обновлению материально-технической базы животноводства, приобретения племенного материала организациями АПК увеличение поголовья коров и  доведение их числа к 2024 году до 4,9 тыс.голов.</w:t>
      </w:r>
    </w:p>
    <w:p w:rsidR="00D71F98" w:rsidRPr="004B25FE" w:rsidRDefault="00D71F98">
      <w:pPr>
        <w:autoSpaceDE w:val="0"/>
        <w:autoSpaceDN w:val="0"/>
        <w:adjustRightInd w:val="0"/>
        <w:spacing w:after="0" w:line="240" w:lineRule="auto"/>
        <w:ind w:firstLine="851"/>
        <w:jc w:val="both"/>
        <w:rPr>
          <w:rFonts w:ascii="Times New Roman CYR" w:hAnsi="Times New Roman CYR" w:cs="Times New Roman CYR"/>
          <w:sz w:val="28"/>
          <w:szCs w:val="28"/>
        </w:rPr>
      </w:pPr>
      <w:r w:rsidRPr="004B25FE">
        <w:rPr>
          <w:rFonts w:ascii="Times New Roman CYR" w:hAnsi="Times New Roman CYR" w:cs="Times New Roman CYR"/>
          <w:sz w:val="28"/>
          <w:szCs w:val="28"/>
        </w:rPr>
        <w:t xml:space="preserve">Надой молока на 1 среднегодовую корову по всем категориям хозяйств в 2020 году составил 5176,88 кг, в 2021-2024 годах прогнозируется рост продуктивности коров до 5360 кг молока в год.  </w:t>
      </w:r>
    </w:p>
    <w:p w:rsidR="00D71F98" w:rsidRPr="004B25FE" w:rsidRDefault="00D71F98">
      <w:pPr>
        <w:autoSpaceDE w:val="0"/>
        <w:autoSpaceDN w:val="0"/>
        <w:adjustRightInd w:val="0"/>
        <w:spacing w:after="0" w:line="240" w:lineRule="auto"/>
        <w:ind w:firstLine="851"/>
        <w:jc w:val="both"/>
        <w:rPr>
          <w:rFonts w:ascii="Times New Roman CYR" w:hAnsi="Times New Roman CYR" w:cs="Times New Roman CYR"/>
          <w:sz w:val="28"/>
          <w:szCs w:val="28"/>
        </w:rPr>
      </w:pPr>
      <w:r w:rsidRPr="004B25FE">
        <w:rPr>
          <w:rFonts w:ascii="Times New Roman CYR" w:hAnsi="Times New Roman CYR" w:cs="Times New Roman CYR"/>
          <w:sz w:val="28"/>
          <w:szCs w:val="28"/>
        </w:rPr>
        <w:t xml:space="preserve">Общий объем отгруженных товаров собственного производства, выполненных работ и услуг собственными силами по всем хозяйствам района (животноводство) в  2020 году составил  2093,3 млн. руб., в 2021 году планируется 1867,3 млн. руб., в 2022 году 1928,0 млн. руб., в 2023- 2012,2 млн. руб., в 2024 – 2107,7 млн. руб. </w:t>
      </w:r>
    </w:p>
    <w:p w:rsidR="00D71F98" w:rsidRPr="004B25FE" w:rsidRDefault="00D71F98">
      <w:pPr>
        <w:autoSpaceDE w:val="0"/>
        <w:autoSpaceDN w:val="0"/>
        <w:adjustRightInd w:val="0"/>
        <w:spacing w:after="0" w:line="240" w:lineRule="auto"/>
        <w:ind w:firstLine="851"/>
        <w:jc w:val="both"/>
        <w:rPr>
          <w:rFonts w:ascii="Times New Roman CYR" w:hAnsi="Times New Roman CYR" w:cs="Times New Roman CYR"/>
          <w:sz w:val="28"/>
          <w:szCs w:val="28"/>
        </w:rPr>
      </w:pPr>
      <w:r w:rsidRPr="004B25FE">
        <w:rPr>
          <w:rFonts w:ascii="Times New Roman CYR" w:hAnsi="Times New Roman CYR" w:cs="Times New Roman CYR"/>
          <w:sz w:val="28"/>
          <w:szCs w:val="28"/>
        </w:rPr>
        <w:t xml:space="preserve">Индекс производства сельскохозяйственными предприятиями  составляет: к уровню 2020 года 120,0 % к уровню 2021 года – 85,1 %, к уровню 2022 года планируется  100,1%,  к уровню в 2023 года 100,4  %, к уровню 2024 года -100,5%. </w:t>
      </w:r>
    </w:p>
    <w:p w:rsidR="00D71F98" w:rsidRPr="004B25FE" w:rsidRDefault="00D71F98">
      <w:pPr>
        <w:autoSpaceDE w:val="0"/>
        <w:autoSpaceDN w:val="0"/>
        <w:adjustRightInd w:val="0"/>
        <w:spacing w:after="0" w:line="240" w:lineRule="auto"/>
        <w:ind w:firstLine="851"/>
        <w:jc w:val="both"/>
        <w:rPr>
          <w:rFonts w:ascii="Times New Roman CYR" w:hAnsi="Times New Roman CYR" w:cs="Times New Roman CYR"/>
          <w:sz w:val="28"/>
          <w:szCs w:val="28"/>
        </w:rPr>
      </w:pPr>
      <w:r w:rsidRPr="004B25FE">
        <w:rPr>
          <w:rFonts w:ascii="Times New Roman CYR" w:hAnsi="Times New Roman CYR" w:cs="Times New Roman CYR"/>
          <w:sz w:val="28"/>
          <w:szCs w:val="28"/>
        </w:rPr>
        <w:t xml:space="preserve">            Динамика натуральных показателей сельскохозяйственного производства представлена в таблице № 2.</w:t>
      </w:r>
    </w:p>
    <w:p w:rsidR="00D71F98" w:rsidRDefault="00D71F98">
      <w:pPr>
        <w:autoSpaceDE w:val="0"/>
        <w:autoSpaceDN w:val="0"/>
        <w:adjustRightInd w:val="0"/>
        <w:spacing w:after="0" w:line="240" w:lineRule="auto"/>
        <w:ind w:firstLine="851"/>
        <w:jc w:val="right"/>
        <w:rPr>
          <w:rFonts w:ascii="Times New Roman CYR" w:hAnsi="Times New Roman CYR" w:cs="Times New Roman CYR"/>
          <w:sz w:val="24"/>
          <w:szCs w:val="24"/>
        </w:rPr>
      </w:pPr>
    </w:p>
    <w:p w:rsidR="00D71F98" w:rsidRDefault="00D71F98">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Показатели сельскохозяйственного производства</w:t>
      </w:r>
    </w:p>
    <w:p w:rsidR="00D71F98" w:rsidRDefault="00D71F98">
      <w:pPr>
        <w:autoSpaceDE w:val="0"/>
        <w:autoSpaceDN w:val="0"/>
        <w:adjustRightInd w:val="0"/>
        <w:spacing w:after="0" w:line="240" w:lineRule="auto"/>
        <w:ind w:firstLine="851"/>
        <w:jc w:val="right"/>
        <w:rPr>
          <w:rFonts w:ascii="Times New Roman CYR" w:hAnsi="Times New Roman CYR" w:cs="Times New Roman CYR"/>
          <w:sz w:val="20"/>
          <w:szCs w:val="20"/>
        </w:rPr>
      </w:pPr>
      <w:r>
        <w:rPr>
          <w:rFonts w:ascii="Times New Roman CYR" w:hAnsi="Times New Roman CYR" w:cs="Times New Roman CYR"/>
          <w:sz w:val="20"/>
          <w:szCs w:val="20"/>
        </w:rPr>
        <w:t>Таблица 2</w:t>
      </w:r>
    </w:p>
    <w:tbl>
      <w:tblPr>
        <w:tblW w:w="0" w:type="auto"/>
        <w:jc w:val="center"/>
        <w:tblLayout w:type="fixed"/>
        <w:tblLook w:val="0000" w:firstRow="0" w:lastRow="0" w:firstColumn="0" w:lastColumn="0" w:noHBand="0" w:noVBand="0"/>
      </w:tblPr>
      <w:tblGrid>
        <w:gridCol w:w="2830"/>
        <w:gridCol w:w="1113"/>
        <w:gridCol w:w="838"/>
        <w:gridCol w:w="1075"/>
        <w:gridCol w:w="839"/>
        <w:gridCol w:w="11"/>
        <w:gridCol w:w="1093"/>
        <w:gridCol w:w="11"/>
        <w:gridCol w:w="1123"/>
        <w:gridCol w:w="11"/>
        <w:gridCol w:w="1123"/>
        <w:gridCol w:w="11"/>
      </w:tblGrid>
      <w:tr w:rsidR="00D71F98">
        <w:tblPrEx>
          <w:tblCellMar>
            <w:top w:w="0" w:type="dxa"/>
            <w:bottom w:w="0" w:type="dxa"/>
          </w:tblCellMar>
        </w:tblPrEx>
        <w:trPr>
          <w:trHeight w:val="606"/>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Наименование показателя</w:t>
            </w:r>
          </w:p>
        </w:tc>
        <w:tc>
          <w:tcPr>
            <w:tcW w:w="1113"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Единицы измерения</w:t>
            </w:r>
          </w:p>
        </w:tc>
        <w:tc>
          <w:tcPr>
            <w:tcW w:w="838"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2019 Отчет</w:t>
            </w:r>
          </w:p>
        </w:tc>
        <w:tc>
          <w:tcPr>
            <w:tcW w:w="1075" w:type="dxa"/>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2020 Отчет</w:t>
            </w:r>
          </w:p>
        </w:tc>
        <w:tc>
          <w:tcPr>
            <w:tcW w:w="850" w:type="dxa"/>
            <w:gridSpan w:val="2"/>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2021 Оценка</w:t>
            </w:r>
          </w:p>
        </w:tc>
        <w:tc>
          <w:tcPr>
            <w:tcW w:w="1104" w:type="dxa"/>
            <w:gridSpan w:val="2"/>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2022 Прогноз вариант 2</w:t>
            </w:r>
          </w:p>
        </w:tc>
        <w:tc>
          <w:tcPr>
            <w:tcW w:w="1134" w:type="dxa"/>
            <w:gridSpan w:val="2"/>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2023 Прогноз вариант 2</w:t>
            </w:r>
          </w:p>
        </w:tc>
        <w:tc>
          <w:tcPr>
            <w:tcW w:w="1134" w:type="dxa"/>
            <w:gridSpan w:val="2"/>
            <w:tcBorders>
              <w:top w:val="single" w:sz="4" w:space="0" w:color="000000"/>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2024 Прогноз вариант 2</w:t>
            </w:r>
          </w:p>
        </w:tc>
      </w:tr>
      <w:tr w:rsidR="00D71F98">
        <w:tblPrEx>
          <w:tblCellMar>
            <w:top w:w="0" w:type="dxa"/>
            <w:bottom w:w="0" w:type="dxa"/>
          </w:tblCellMar>
        </w:tblPrEx>
        <w:trPr>
          <w:trHeight w:val="605"/>
          <w:jc w:val="center"/>
        </w:trPr>
        <w:tc>
          <w:tcPr>
            <w:tcW w:w="2830"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крупного рогатого скота</w:t>
            </w:r>
          </w:p>
        </w:tc>
        <w:tc>
          <w:tcPr>
            <w:tcW w:w="111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голов</w:t>
            </w:r>
          </w:p>
        </w:tc>
        <w:tc>
          <w:tcPr>
            <w:tcW w:w="838"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13027</w:t>
            </w:r>
          </w:p>
        </w:tc>
        <w:tc>
          <w:tcPr>
            <w:tcW w:w="1075"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12745</w:t>
            </w:r>
          </w:p>
        </w:tc>
        <w:tc>
          <w:tcPr>
            <w:tcW w:w="850"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12745</w:t>
            </w:r>
          </w:p>
        </w:tc>
        <w:tc>
          <w:tcPr>
            <w:tcW w:w="110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12747</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12749</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12750</w:t>
            </w:r>
          </w:p>
        </w:tc>
      </w:tr>
      <w:tr w:rsidR="00D71F98">
        <w:tblPrEx>
          <w:tblCellMar>
            <w:top w:w="0" w:type="dxa"/>
            <w:bottom w:w="0" w:type="dxa"/>
          </w:tblCellMar>
        </w:tblPrEx>
        <w:trPr>
          <w:trHeight w:val="300"/>
          <w:jc w:val="center"/>
        </w:trPr>
        <w:tc>
          <w:tcPr>
            <w:tcW w:w="2830"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коров</w:t>
            </w:r>
          </w:p>
        </w:tc>
        <w:tc>
          <w:tcPr>
            <w:tcW w:w="111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голов</w:t>
            </w:r>
          </w:p>
        </w:tc>
        <w:tc>
          <w:tcPr>
            <w:tcW w:w="838"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4967</w:t>
            </w:r>
          </w:p>
        </w:tc>
        <w:tc>
          <w:tcPr>
            <w:tcW w:w="1075"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4895</w:t>
            </w:r>
          </w:p>
        </w:tc>
        <w:tc>
          <w:tcPr>
            <w:tcW w:w="850"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4895</w:t>
            </w:r>
          </w:p>
        </w:tc>
        <w:tc>
          <w:tcPr>
            <w:tcW w:w="110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4935</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4963</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4998</w:t>
            </w:r>
          </w:p>
        </w:tc>
      </w:tr>
      <w:tr w:rsidR="00D71F98">
        <w:tblPrEx>
          <w:tblCellMar>
            <w:top w:w="0" w:type="dxa"/>
            <w:bottom w:w="0" w:type="dxa"/>
          </w:tblCellMar>
        </w:tblPrEx>
        <w:trPr>
          <w:trHeight w:val="300"/>
          <w:jc w:val="center"/>
        </w:trPr>
        <w:tc>
          <w:tcPr>
            <w:tcW w:w="2830"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свиньей</w:t>
            </w:r>
          </w:p>
        </w:tc>
        <w:tc>
          <w:tcPr>
            <w:tcW w:w="111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голов</w:t>
            </w:r>
          </w:p>
        </w:tc>
        <w:tc>
          <w:tcPr>
            <w:tcW w:w="838"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7986</w:t>
            </w:r>
          </w:p>
        </w:tc>
        <w:tc>
          <w:tcPr>
            <w:tcW w:w="1075"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7948</w:t>
            </w:r>
          </w:p>
        </w:tc>
        <w:tc>
          <w:tcPr>
            <w:tcW w:w="850"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7948</w:t>
            </w:r>
          </w:p>
        </w:tc>
        <w:tc>
          <w:tcPr>
            <w:tcW w:w="110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7975</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8008</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8045</w:t>
            </w:r>
          </w:p>
        </w:tc>
      </w:tr>
      <w:tr w:rsidR="00D71F98">
        <w:tblPrEx>
          <w:tblCellMar>
            <w:top w:w="0" w:type="dxa"/>
            <w:bottom w:w="0" w:type="dxa"/>
          </w:tblCellMar>
        </w:tblPrEx>
        <w:trPr>
          <w:trHeight w:val="300"/>
          <w:jc w:val="center"/>
        </w:trPr>
        <w:tc>
          <w:tcPr>
            <w:tcW w:w="2830"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овец, коз</w:t>
            </w:r>
          </w:p>
        </w:tc>
        <w:tc>
          <w:tcPr>
            <w:tcW w:w="111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голов</w:t>
            </w:r>
          </w:p>
        </w:tc>
        <w:tc>
          <w:tcPr>
            <w:tcW w:w="838"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2376</w:t>
            </w:r>
          </w:p>
        </w:tc>
        <w:tc>
          <w:tcPr>
            <w:tcW w:w="1075"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2245</w:t>
            </w:r>
          </w:p>
        </w:tc>
        <w:tc>
          <w:tcPr>
            <w:tcW w:w="850"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2245</w:t>
            </w:r>
          </w:p>
        </w:tc>
        <w:tc>
          <w:tcPr>
            <w:tcW w:w="110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2272</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2296</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2320</w:t>
            </w:r>
          </w:p>
        </w:tc>
      </w:tr>
      <w:tr w:rsidR="00D71F98">
        <w:tblPrEx>
          <w:tblCellMar>
            <w:top w:w="0" w:type="dxa"/>
            <w:bottom w:w="0" w:type="dxa"/>
          </w:tblCellMar>
        </w:tblPrEx>
        <w:trPr>
          <w:trHeight w:val="797"/>
          <w:jc w:val="center"/>
        </w:trPr>
        <w:tc>
          <w:tcPr>
            <w:tcW w:w="2830"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птицы (сельскохозяйственные организации)</w:t>
            </w:r>
          </w:p>
        </w:tc>
        <w:tc>
          <w:tcPr>
            <w:tcW w:w="111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тыс.голов</w:t>
            </w:r>
          </w:p>
        </w:tc>
        <w:tc>
          <w:tcPr>
            <w:tcW w:w="838"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075"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850"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0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r>
      <w:tr w:rsidR="00D71F98">
        <w:tblPrEx>
          <w:tblCellMar>
            <w:top w:w="0" w:type="dxa"/>
            <w:bottom w:w="0" w:type="dxa"/>
          </w:tblCellMar>
        </w:tblPrEx>
        <w:trPr>
          <w:trHeight w:val="300"/>
          <w:jc w:val="center"/>
        </w:trPr>
        <w:tc>
          <w:tcPr>
            <w:tcW w:w="2830"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Поголовье северных оленей</w:t>
            </w:r>
          </w:p>
        </w:tc>
        <w:tc>
          <w:tcPr>
            <w:tcW w:w="111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голов</w:t>
            </w:r>
          </w:p>
        </w:tc>
        <w:tc>
          <w:tcPr>
            <w:tcW w:w="838"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075"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850"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0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r>
      <w:tr w:rsidR="00D71F98">
        <w:tblPrEx>
          <w:tblCellMar>
            <w:top w:w="0" w:type="dxa"/>
            <w:bottom w:w="0" w:type="dxa"/>
          </w:tblCellMar>
        </w:tblPrEx>
        <w:trPr>
          <w:gridAfter w:val="1"/>
          <w:wAfter w:w="11" w:type="dxa"/>
          <w:trHeight w:val="300"/>
          <w:jc w:val="center"/>
        </w:trPr>
        <w:tc>
          <w:tcPr>
            <w:tcW w:w="2830"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скота и птицы на убой (в живом весе)</w:t>
            </w:r>
          </w:p>
        </w:tc>
        <w:tc>
          <w:tcPr>
            <w:tcW w:w="111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тн</w:t>
            </w:r>
          </w:p>
        </w:tc>
        <w:tc>
          <w:tcPr>
            <w:tcW w:w="838"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4133</w:t>
            </w:r>
          </w:p>
        </w:tc>
        <w:tc>
          <w:tcPr>
            <w:tcW w:w="1075"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3772</w:t>
            </w:r>
          </w:p>
        </w:tc>
        <w:tc>
          <w:tcPr>
            <w:tcW w:w="839"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3774</w:t>
            </w:r>
          </w:p>
        </w:tc>
        <w:tc>
          <w:tcPr>
            <w:tcW w:w="110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3778</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3782</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3786</w:t>
            </w:r>
          </w:p>
        </w:tc>
      </w:tr>
      <w:tr w:rsidR="00D71F98">
        <w:tblPrEx>
          <w:tblCellMar>
            <w:top w:w="0" w:type="dxa"/>
            <w:bottom w:w="0" w:type="dxa"/>
          </w:tblCellMar>
        </w:tblPrEx>
        <w:trPr>
          <w:trHeight w:val="96"/>
          <w:jc w:val="center"/>
        </w:trPr>
        <w:tc>
          <w:tcPr>
            <w:tcW w:w="2830"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молока</w:t>
            </w:r>
          </w:p>
        </w:tc>
        <w:tc>
          <w:tcPr>
            <w:tcW w:w="111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тн</w:t>
            </w:r>
          </w:p>
        </w:tc>
        <w:tc>
          <w:tcPr>
            <w:tcW w:w="838"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22548</w:t>
            </w:r>
          </w:p>
        </w:tc>
        <w:tc>
          <w:tcPr>
            <w:tcW w:w="1075"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23166</w:t>
            </w:r>
          </w:p>
        </w:tc>
        <w:tc>
          <w:tcPr>
            <w:tcW w:w="850"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23166</w:t>
            </w:r>
          </w:p>
        </w:tc>
        <w:tc>
          <w:tcPr>
            <w:tcW w:w="110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23398</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23632</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23869</w:t>
            </w:r>
          </w:p>
        </w:tc>
      </w:tr>
      <w:tr w:rsidR="00D71F98">
        <w:tblPrEx>
          <w:tblCellMar>
            <w:top w:w="0" w:type="dxa"/>
            <w:bottom w:w="0" w:type="dxa"/>
          </w:tblCellMar>
        </w:tblPrEx>
        <w:trPr>
          <w:trHeight w:val="300"/>
          <w:jc w:val="center"/>
        </w:trPr>
        <w:tc>
          <w:tcPr>
            <w:tcW w:w="2830"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производство яиц</w:t>
            </w:r>
          </w:p>
        </w:tc>
        <w:tc>
          <w:tcPr>
            <w:tcW w:w="111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тыс.штук</w:t>
            </w:r>
          </w:p>
        </w:tc>
        <w:tc>
          <w:tcPr>
            <w:tcW w:w="838"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4313</w:t>
            </w:r>
          </w:p>
        </w:tc>
        <w:tc>
          <w:tcPr>
            <w:tcW w:w="1075"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4055</w:t>
            </w:r>
          </w:p>
        </w:tc>
        <w:tc>
          <w:tcPr>
            <w:tcW w:w="850"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4055</w:t>
            </w:r>
          </w:p>
        </w:tc>
        <w:tc>
          <w:tcPr>
            <w:tcW w:w="110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4095</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4136</w:t>
            </w: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4178</w:t>
            </w:r>
          </w:p>
        </w:tc>
      </w:tr>
      <w:tr w:rsidR="00D71F98">
        <w:tblPrEx>
          <w:tblCellMar>
            <w:top w:w="0" w:type="dxa"/>
            <w:bottom w:w="0" w:type="dxa"/>
          </w:tblCellMar>
        </w:tblPrEx>
        <w:trPr>
          <w:trHeight w:val="1281"/>
          <w:jc w:val="center"/>
        </w:trPr>
        <w:tc>
          <w:tcPr>
            <w:tcW w:w="2830" w:type="dxa"/>
            <w:tcBorders>
              <w:top w:val="nil"/>
              <w:left w:val="single" w:sz="4" w:space="0" w:color="000000"/>
              <w:bottom w:val="nil"/>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Надой молока на одну корову (на среднегодовое поголовье) в крупных и средних сельскохозяйственных организациях</w:t>
            </w:r>
          </w:p>
        </w:tc>
        <w:tc>
          <w:tcPr>
            <w:tcW w:w="1113" w:type="dxa"/>
            <w:tcBorders>
              <w:top w:val="nil"/>
              <w:left w:val="nil"/>
              <w:bottom w:val="nil"/>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кг</w:t>
            </w:r>
          </w:p>
        </w:tc>
        <w:tc>
          <w:tcPr>
            <w:tcW w:w="838" w:type="dxa"/>
            <w:tcBorders>
              <w:top w:val="nil"/>
              <w:left w:val="nil"/>
              <w:bottom w:val="nil"/>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4718</w:t>
            </w:r>
          </w:p>
        </w:tc>
        <w:tc>
          <w:tcPr>
            <w:tcW w:w="1075" w:type="dxa"/>
            <w:tcBorders>
              <w:top w:val="nil"/>
              <w:left w:val="nil"/>
              <w:bottom w:val="nil"/>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5176,88</w:t>
            </w:r>
          </w:p>
        </w:tc>
        <w:tc>
          <w:tcPr>
            <w:tcW w:w="850" w:type="dxa"/>
            <w:gridSpan w:val="2"/>
            <w:tcBorders>
              <w:top w:val="nil"/>
              <w:left w:val="nil"/>
              <w:bottom w:val="nil"/>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5201</w:t>
            </w:r>
          </w:p>
        </w:tc>
        <w:tc>
          <w:tcPr>
            <w:tcW w:w="1104" w:type="dxa"/>
            <w:gridSpan w:val="2"/>
            <w:tcBorders>
              <w:top w:val="nil"/>
              <w:left w:val="nil"/>
              <w:bottom w:val="nil"/>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5254</w:t>
            </w:r>
          </w:p>
        </w:tc>
        <w:tc>
          <w:tcPr>
            <w:tcW w:w="1134" w:type="dxa"/>
            <w:gridSpan w:val="2"/>
            <w:tcBorders>
              <w:top w:val="nil"/>
              <w:left w:val="nil"/>
              <w:bottom w:val="nil"/>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5306</w:t>
            </w:r>
          </w:p>
        </w:tc>
        <w:tc>
          <w:tcPr>
            <w:tcW w:w="1134" w:type="dxa"/>
            <w:gridSpan w:val="2"/>
            <w:tcBorders>
              <w:top w:val="nil"/>
              <w:left w:val="nil"/>
              <w:bottom w:val="nil"/>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5360</w:t>
            </w:r>
          </w:p>
        </w:tc>
      </w:tr>
      <w:tr w:rsidR="00D71F98">
        <w:tblPrEx>
          <w:tblCellMar>
            <w:top w:w="0" w:type="dxa"/>
            <w:bottom w:w="0" w:type="dxa"/>
          </w:tblCellMar>
        </w:tblPrEx>
        <w:trPr>
          <w:trHeight w:val="1281"/>
          <w:jc w:val="center"/>
        </w:trPr>
        <w:tc>
          <w:tcPr>
            <w:tcW w:w="2830" w:type="dxa"/>
            <w:tcBorders>
              <w:top w:val="nil"/>
              <w:left w:val="single" w:sz="4" w:space="0" w:color="000000"/>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p>
        </w:tc>
        <w:tc>
          <w:tcPr>
            <w:tcW w:w="1113"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838"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075" w:type="dxa"/>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850"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0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sz w:val="20"/>
                <w:szCs w:val="20"/>
              </w:rPr>
            </w:pPr>
          </w:p>
        </w:tc>
        <w:tc>
          <w:tcPr>
            <w:tcW w:w="1134" w:type="dxa"/>
            <w:gridSpan w:val="2"/>
            <w:tcBorders>
              <w:top w:val="nil"/>
              <w:left w:val="nil"/>
              <w:bottom w:val="single" w:sz="4" w:space="0" w:color="000000"/>
              <w:right w:val="single" w:sz="4" w:space="0" w:color="000000"/>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sz w:val="20"/>
                <w:szCs w:val="20"/>
              </w:rPr>
            </w:pPr>
          </w:p>
        </w:tc>
      </w:tr>
    </w:tbl>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 Строительство</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4.1. Жилищное строительство</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5. Инвестиции</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autoSpaceDE w:val="0"/>
        <w:autoSpaceDN w:val="0"/>
        <w:adjustRightInd w:val="0"/>
        <w:spacing w:after="20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 Балахтинский район имеет перспективу и огромный ресурс для развития, являясь привлекательным для вложения инвестиций.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2020 году инвестиции в основной капитал за счет всех источников финансирования составили 1032,1</w:t>
      </w:r>
      <w:r>
        <w:rPr>
          <w:rFonts w:ascii="Times New Roman CYR" w:hAnsi="Times New Roman CYR" w:cs="Times New Roman CYR"/>
          <w:sz w:val="16"/>
          <w:szCs w:val="16"/>
        </w:rPr>
        <w:t xml:space="preserve"> </w:t>
      </w:r>
      <w:r>
        <w:rPr>
          <w:rFonts w:ascii="Times New Roman CYR" w:hAnsi="Times New Roman CYR" w:cs="Times New Roman CYR"/>
          <w:sz w:val="28"/>
          <w:szCs w:val="28"/>
        </w:rPr>
        <w:t>млн. руб. (рост к уровню 2019 года составил 83,64% в сопоставимых ценах). На перспективу в 2021-2024 годов планируется незначительный рост.</w:t>
      </w:r>
    </w:p>
    <w:p w:rsidR="00D71F98" w:rsidRDefault="00D71F98">
      <w:pPr>
        <w:autoSpaceDE w:val="0"/>
        <w:autoSpaceDN w:val="0"/>
        <w:adjustRightInd w:val="0"/>
        <w:spacing w:after="20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2020 году инвестиции в основной капитал за счет всех источников финансирования составили 628,3 млн. руб. (увеличение показателя на 251,2% к уровню 2019 года). Говоря о темпах роста в сопоставимых ценах увеличение в 2020 году произошло на 234,6% к уровню 2019 года. </w:t>
      </w:r>
    </w:p>
    <w:p w:rsidR="00D71F98" w:rsidRDefault="00D71F98">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Инвестиции на приобретение сельскохозяйственной техники и сельскохозяйственного оборудования в разделе А: Сельское, лесное хозяйство в 2020 году составили 325,6 млн.руб. Одной из причин такого значительного роста инвестиций объясняется тем, что в 2020 году для субъектов экономики Балахтинского района стало привлекательным льготное кредитование бизнеса, что способствовало увеличению инвестиционной активности, в частности стимулировало к приобретению техники и нового оборудования для производств. Предприятия агропромышленного комплекса обновляли парк сельскохозяйственной техники, так, например, у ООО «КХ Родник» вложения инвестиций составили почти 150 млн.руб. (погрузчики, тракторы, грузовые тягачи, бульдозер, автогрейдер, зерносушильное оборудование и др.), ОАО «Красное» - 88,4 млн.руб. (грузовой тягач, комбайн кормоуборочный, сеялка, самоходный опрыскиватель и др.), ОАО «Тюльковское» - 66,5 млн.руб. (зерноуборочный комбайн, самоходная косилка, погрузчик, бульдозер), ООО «КФХ «Могучий» - 64,1 млн.руб. (разбрасыватель сельскохозяйственный), ЗАО «Сибирь» - 63,1 млн.руб. (телескопический погрузчик, опрыскиватель, зерносушилка, тракторы, комбайн),   ООО «Чистопольске Нивы» - 62,9 млн.руб. (тракторы), остальные предприятия от 0,4 млн.руб. до 52,2 млн.руб.</w:t>
      </w:r>
    </w:p>
    <w:p w:rsidR="00D71F98" w:rsidRDefault="00D71F98">
      <w:pPr>
        <w:autoSpaceDE w:val="0"/>
        <w:autoSpaceDN w:val="0"/>
        <w:adjustRightInd w:val="0"/>
        <w:spacing w:after="0" w:line="240" w:lineRule="auto"/>
        <w:ind w:firstLine="567"/>
        <w:jc w:val="both"/>
        <w:rPr>
          <w:rFonts w:ascii="Times New Roman CYR" w:hAnsi="Times New Roman CYR" w:cs="Times New Roman CYR"/>
          <w:sz w:val="28"/>
          <w:szCs w:val="28"/>
          <w:highlight w:val="white"/>
        </w:rPr>
      </w:pPr>
    </w:p>
    <w:p w:rsidR="00D71F98" w:rsidRDefault="00D71F98">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предприятиях раздела B: «Добыча полезных ископаемых» в частности ООО «Сибуголь» значительно возросло число инвестиций, в сравнении с 2019 годом и составило 149,8 млн.руб., что связано с вложениями в приобретение оборудования. </w:t>
      </w:r>
    </w:p>
    <w:p w:rsidR="00D71F98" w:rsidRDefault="00D71F98">
      <w:pPr>
        <w:autoSpaceDE w:val="0"/>
        <w:autoSpaceDN w:val="0"/>
        <w:adjustRightInd w:val="0"/>
        <w:spacing w:after="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w:t>
      </w:r>
    </w:p>
    <w:p w:rsidR="00D71F98" w:rsidRDefault="00D71F98">
      <w:pPr>
        <w:autoSpaceDE w:val="0"/>
        <w:autoSpaceDN w:val="0"/>
        <w:adjustRightInd w:val="0"/>
        <w:spacing w:after="20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разделу D: Обеспечение электрической энергией, газом и паром; кондиционирование воздуха объем инвестиций составил 20,4 млн.руб., что незначительно выше показателя 2019 года, на 2,87%. Работа предприятий этой отрасли стабилизировалась в сравнении с 2018 годом, когда ООО «ЖКХ Приморье» проходило процедуру банкротства и АО «Санаторий «Красноярское Загорье» не вкладывал инвестиции.  </w:t>
      </w:r>
    </w:p>
    <w:p w:rsidR="00D71F98" w:rsidRDefault="00D71F98">
      <w:pPr>
        <w:autoSpaceDE w:val="0"/>
        <w:autoSpaceDN w:val="0"/>
        <w:adjustRightInd w:val="0"/>
        <w:spacing w:after="20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разделу E: Водоснабжение; водоотведение, организация сбора и утилизация отходов, деятельность по ликвидации загрязнений вложений инвестиций в основной капитал предприятиями данного вида деятельности (ООО «БСК», ООО «ЖКХ «Приморье» и ГПКК «ЦРКК») в 2020 году не было. </w:t>
      </w:r>
    </w:p>
    <w:p w:rsidR="00D71F98" w:rsidRDefault="00D71F98">
      <w:pPr>
        <w:autoSpaceDE w:val="0"/>
        <w:autoSpaceDN w:val="0"/>
        <w:adjustRightInd w:val="0"/>
        <w:spacing w:after="20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Разделу P: «Образование» в 2020 году объем инвестиций значительно увеличился и составил – 37,4 млн.руб. В образовательной отрасли осуществлялся ремонт образовательных учреждений на сумму 11,2 млн.руб., в том числе замена оконных проемов в Огурской, Чулымской и Ровненской школах, ремонт пищеблока и обеденного зала в Приморской школе; приобреталось оборудование и оргтехника для внедрения модели цифровой образовательной среды (10,7 млн.руб.), обновлялась инфраструктура для занятий физкультурой и спортом в образовательных учреждениях (3,1 млн.руб.).    </w:t>
      </w:r>
    </w:p>
    <w:p w:rsidR="00D71F98" w:rsidRDefault="00D71F98">
      <w:pPr>
        <w:autoSpaceDE w:val="0"/>
        <w:autoSpaceDN w:val="0"/>
        <w:adjustRightInd w:val="0"/>
        <w:spacing w:after="20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 разделу Q: Деятельность в области здравоохранения и социальных услуг - объем инвестиций составил – 11,8 млн.руб. Сокращение в сравнении с 2019 годом на 37,2%.</w:t>
      </w:r>
    </w:p>
    <w:p w:rsidR="00D71F98" w:rsidRDefault="00D71F98">
      <w:pPr>
        <w:autoSpaceDE w:val="0"/>
        <w:autoSpaceDN w:val="0"/>
        <w:adjustRightInd w:val="0"/>
        <w:spacing w:after="20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разделу R: Деятельность в области культуры, спорта, организации досуга и развлечений объем инвестиций в отчетном году составил 4,9 млн.руб, что ниже уровня 2019 года на 19%. В отрасли культуры осуществлялся ремонт МБУК ЦКС, ремонт кровли детской школы искусств, обновлены книжные фонды и материально – техническая база библиотек и учреждений культуры, был приобретен модульный клуб в п.Чистые Пруды. С целью развития физической культуры и спорта было приобретено игровое и спортивное оборудование.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инвестиций (бюджетные средства) в отчетном году составил 58,3 млн.руб. (что ниже уровня прошлого года на 18,4%). В 2020 году объем бюджетных инвестиций сложился во всех социальных сферах района, в том числе осуществлялся ремонт образовательных учреждений на сумму 11,2 млн.руб., в том числе замена оконных проемов в Огурской, Чулымской и Ровненской школах, ремонт пищеблока и обеденного зала в Приморской школе; приобреталось оборудование и оргтехника для внедрения модели цифровой образовательной среды (10,7 млн.руб.), обновлялась инфраструктура для занятий физкультурой и спортом в образовательных учреждениях (3,1 млн.руб.); осуществлялся ремонт МБУК ЦКС на сумму 9,6 млн.руб., ремонт кровли детской школы искусств (0,3 млн.руб.), обновлены книжные фонды и материально – техническая база библиотек и учреждений культуры (2,7 млн.руб), был приобретен модульный клуб в п.Чистые Пруды и 3 квартиры для педагогов на сумму 12,6 млн.руб; было приобретено игровое и спортивное оборудование на сумму 3,8 млн.руб.; финансировались мероприятия в сфере жилищно-коммунального хозяйства, в частности капитальный ремонт тепловодосетей и водонапорных башен, (13,1 млн.руб.), по безопасности дорожного движения и противопожарной защите (0,5 млн.руб.).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2020 году также было затрачено 2,6 млн.руб. по программе поддержки местных инициатив, приобретено жилье детям – сиротам на сумму 3,3 млн.руб., осуществлялся ремонт базы отдыха «Даурская» - 6,3 млн.руб.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как и в предыдущие годы, работа будет направлена на поддержание жизнедеятельности, улучшение материальной обеспеченности учреждений социальной сферы, в целях развития транспортной, инженерной, инфраструктуры, способной повысить комфортность проживания на территории района. В частности планируется строительство амбулатории в п.Чистое Поле, вложения в объекты бюджетных сфер образования, культуры и спорта, а также мероприятия в отрасли жилищно-коммунального хозяйства (приобретение блока механической очистки сточных вод на КНС в п.г.т.Балахта, на сумму 6,85 млн.руб, ремонт водонапорных башен в д.Марьясово (1,7 млн.руб.), п.Могучий (2,5 млн.руб.), установка контейнерных площадок хранения ТКО в п.г.т.Балахта, п.Приморск, с.Тюльково, приобретение жилья для детей-сирот (19,6 млн.руб.), строительством кафе с детский игровым центром в п.г.т.Балахта, а также вложениями в комплексный проект благоустройства парка имени Прокудина в п.г.т.Балахта в части строительства лыжероллерной трассы для развития биатлонного спорта.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Рост 2022 – 2023 гг. наряду с вложениями инвестиций в объекты социальной сферы (строительство школы в п.г.т.Балахта и пр.), обусловлен также планируемыми перспективами вложения внебюджетных инвестиций (строительство аптеки и кафе в п.г.т.Балахта и пр.).</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анализу последних трех лет объем инвестиций без учета бюджетных средств на одного жителя района имеет неоднозначный характер. Так в 2018 году этот показатель составлял 11 030,54 рублей, в 2019 году уменьшился на 11,6% и составил 9 751,87 рублей. Что касается 2020 года, произошло значительные увеличение. Объем инвестиций в расчете на одного жителя в отчетном году составил 31 455,82 рублей.   </w:t>
      </w:r>
    </w:p>
    <w:p w:rsidR="00D71F98" w:rsidRDefault="00D71F98">
      <w:pPr>
        <w:autoSpaceDE w:val="0"/>
        <w:autoSpaceDN w:val="0"/>
        <w:adjustRightInd w:val="0"/>
        <w:spacing w:after="200" w:line="240" w:lineRule="auto"/>
        <w:ind w:firstLine="708"/>
        <w:jc w:val="both"/>
        <w:rPr>
          <w:rFonts w:ascii="Times New Roman CYR" w:hAnsi="Times New Roman CYR" w:cs="Times New Roman CYR"/>
          <w:color w:val="FF0000"/>
          <w:sz w:val="28"/>
          <w:szCs w:val="28"/>
        </w:rPr>
      </w:pPr>
      <w:r>
        <w:rPr>
          <w:rFonts w:ascii="Times New Roman CYR" w:hAnsi="Times New Roman CYR" w:cs="Times New Roman CYR"/>
          <w:sz w:val="28"/>
          <w:szCs w:val="28"/>
          <w:highlight w:val="white"/>
        </w:rPr>
        <w:t>В районе реализуется инвестиционный проект с 2013 года динамично развивающегося предприятия ООО «Малтат» «Организация полносистемного рыбоводного комплекса (ПРК) в п.Приморск Красноярского края», который планирует реализацию до 2024 года. ООО «Малтат» планирует реализовать новые инвестиционные проекты, направленные на развитие товарной аквакультуры (рыборазведение) и рыбоперерабатывающего производства, т.е. выращивание ценных видов рыб лососевых и осетровых пород; организация рыбоводного производства полного цикла; строительство завода по переработке рыбы с использованием современного высокотехнологичного оборудования. Данный инвестиционный проект войдет в муниципальный комплексный проект развития «Приморск - Балахта», наряду с другим инвестиционным проектом, совместно развивая экономику Балахтинского района.</w:t>
      </w:r>
      <w:r>
        <w:rPr>
          <w:rFonts w:ascii="Times New Roman CYR" w:hAnsi="Times New Roman CYR" w:cs="Times New Roman CYR"/>
          <w:sz w:val="28"/>
          <w:szCs w:val="28"/>
        </w:rPr>
        <w:t xml:space="preserve"> </w:t>
      </w:r>
    </w:p>
    <w:tbl>
      <w:tblPr>
        <w:tblW w:w="0" w:type="auto"/>
        <w:tblInd w:w="113" w:type="dxa"/>
        <w:tblLayout w:type="fixed"/>
        <w:tblLook w:val="0000" w:firstRow="0" w:lastRow="0" w:firstColumn="0" w:lastColumn="0" w:noHBand="0" w:noVBand="0"/>
      </w:tblPr>
      <w:tblGrid>
        <w:gridCol w:w="3539"/>
        <w:gridCol w:w="1340"/>
        <w:gridCol w:w="1353"/>
        <w:gridCol w:w="1260"/>
        <w:gridCol w:w="1260"/>
        <w:gridCol w:w="1260"/>
        <w:gridCol w:w="7"/>
      </w:tblGrid>
      <w:tr w:rsidR="00D71F98">
        <w:tblPrEx>
          <w:tblCellMar>
            <w:top w:w="0" w:type="dxa"/>
            <w:bottom w:w="0" w:type="dxa"/>
          </w:tblCellMar>
        </w:tblPrEx>
        <w:trPr>
          <w:trHeight w:val="289"/>
        </w:trPr>
        <w:tc>
          <w:tcPr>
            <w:tcW w:w="3539" w:type="dxa"/>
            <w:vMerge w:val="restart"/>
            <w:tcBorders>
              <w:top w:val="single" w:sz="4" w:space="0" w:color="auto"/>
              <w:left w:val="single" w:sz="4" w:space="0" w:color="auto"/>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6480" w:type="dxa"/>
            <w:gridSpan w:val="6"/>
            <w:tcBorders>
              <w:top w:val="single" w:sz="4" w:space="0" w:color="auto"/>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D71F98">
        <w:tblPrEx>
          <w:tblCellMar>
            <w:top w:w="0" w:type="dxa"/>
            <w:bottom w:w="0" w:type="dxa"/>
          </w:tblCellMar>
        </w:tblPrEx>
        <w:trPr>
          <w:gridAfter w:val="1"/>
          <w:wAfter w:w="7" w:type="dxa"/>
          <w:trHeight w:val="600"/>
        </w:trPr>
        <w:tc>
          <w:tcPr>
            <w:tcW w:w="3539" w:type="dxa"/>
            <w:vMerge/>
            <w:tcBorders>
              <w:top w:val="single" w:sz="4" w:space="0" w:color="auto"/>
              <w:left w:val="single" w:sz="4" w:space="0" w:color="auto"/>
              <w:bottom w:val="single" w:sz="4" w:space="0" w:color="auto"/>
              <w:right w:val="single" w:sz="4" w:space="0" w:color="auto"/>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rPr>
            </w:pPr>
          </w:p>
        </w:tc>
        <w:tc>
          <w:tcPr>
            <w:tcW w:w="134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2019</w:t>
            </w:r>
            <w:r>
              <w:rPr>
                <w:rFonts w:ascii="Times New Roman CYR" w:hAnsi="Times New Roman CYR" w:cs="Times New Roman CYR"/>
                <w:color w:val="000000"/>
              </w:rPr>
              <w:br/>
              <w:t>факт</w:t>
            </w:r>
          </w:p>
        </w:tc>
        <w:tc>
          <w:tcPr>
            <w:tcW w:w="1353"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2020 факт</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2021 оценка</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прогноз</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прогноз</w:t>
            </w:r>
          </w:p>
        </w:tc>
      </w:tr>
      <w:tr w:rsidR="00D71F98">
        <w:tblPrEx>
          <w:tblCellMar>
            <w:top w:w="0" w:type="dxa"/>
            <w:bottom w:w="0" w:type="dxa"/>
          </w:tblCellMar>
        </w:tblPrEx>
        <w:trPr>
          <w:gridAfter w:val="1"/>
          <w:wAfter w:w="7" w:type="dxa"/>
          <w:trHeight w:val="900"/>
        </w:trPr>
        <w:tc>
          <w:tcPr>
            <w:tcW w:w="3539" w:type="dxa"/>
            <w:tcBorders>
              <w:top w:val="nil"/>
              <w:left w:val="single" w:sz="4" w:space="0" w:color="auto"/>
              <w:bottom w:val="single" w:sz="4" w:space="0" w:color="auto"/>
              <w:right w:val="single" w:sz="4" w:space="0" w:color="auto"/>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 Объем инвестиций в основной капитал за счет всех источников финансирования (без субъектов малого предпринимательства), тыс. руб.</w:t>
            </w:r>
          </w:p>
        </w:tc>
        <w:tc>
          <w:tcPr>
            <w:tcW w:w="134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250 078,00</w:t>
            </w:r>
          </w:p>
        </w:tc>
        <w:tc>
          <w:tcPr>
            <w:tcW w:w="1353"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628 296,00</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655 941,02</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684 146,48</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712 880,64</w:t>
            </w:r>
          </w:p>
        </w:tc>
      </w:tr>
      <w:tr w:rsidR="00D71F98">
        <w:tblPrEx>
          <w:tblCellMar>
            <w:top w:w="0" w:type="dxa"/>
            <w:bottom w:w="0" w:type="dxa"/>
          </w:tblCellMar>
        </w:tblPrEx>
        <w:trPr>
          <w:gridAfter w:val="1"/>
          <w:wAfter w:w="7" w:type="dxa"/>
          <w:trHeight w:val="555"/>
        </w:trPr>
        <w:tc>
          <w:tcPr>
            <w:tcW w:w="3539" w:type="dxa"/>
            <w:tcBorders>
              <w:top w:val="nil"/>
              <w:left w:val="single" w:sz="4" w:space="0" w:color="auto"/>
              <w:bottom w:val="single" w:sz="4" w:space="0" w:color="auto"/>
              <w:right w:val="single" w:sz="4" w:space="0" w:color="auto"/>
            </w:tcBorders>
            <w:vAlign w:val="center"/>
          </w:tcPr>
          <w:p w:rsidR="00D71F98" w:rsidRDefault="00D71F98">
            <w:pPr>
              <w:autoSpaceDE w:val="0"/>
              <w:autoSpaceDN w:val="0"/>
              <w:adjustRightInd w:val="0"/>
              <w:spacing w:after="0" w:line="240" w:lineRule="auto"/>
              <w:rPr>
                <w:rFonts w:ascii="Times New Roman CYR" w:hAnsi="Times New Roman CYR" w:cs="Times New Roman CYR"/>
                <w:i/>
                <w:iCs/>
                <w:color w:val="000000"/>
              </w:rPr>
            </w:pPr>
            <w:r>
              <w:rPr>
                <w:rFonts w:ascii="Times New Roman CYR" w:hAnsi="Times New Roman CYR" w:cs="Times New Roman CYR"/>
                <w:i/>
                <w:iCs/>
                <w:color w:val="000000"/>
              </w:rPr>
              <w:t xml:space="preserve">1.1. </w:t>
            </w:r>
            <w:r>
              <w:rPr>
                <w:rFonts w:ascii="Times New Roman CYR" w:hAnsi="Times New Roman CYR" w:cs="Times New Roman CYR"/>
                <w:i/>
                <w:iCs/>
                <w:color w:val="000000"/>
                <w:sz w:val="20"/>
                <w:szCs w:val="20"/>
              </w:rPr>
              <w:t>Темп роста в действующих ценах, к соответствующему периоду предыдущего года, %</w:t>
            </w:r>
          </w:p>
        </w:tc>
        <w:tc>
          <w:tcPr>
            <w:tcW w:w="134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89,6</w:t>
            </w:r>
          </w:p>
        </w:tc>
        <w:tc>
          <w:tcPr>
            <w:tcW w:w="1353"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251,24</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104,40</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104,30</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104,20</w:t>
            </w:r>
          </w:p>
        </w:tc>
      </w:tr>
      <w:tr w:rsidR="00D71F98">
        <w:tblPrEx>
          <w:tblCellMar>
            <w:top w:w="0" w:type="dxa"/>
            <w:bottom w:w="0" w:type="dxa"/>
          </w:tblCellMar>
        </w:tblPrEx>
        <w:trPr>
          <w:gridAfter w:val="1"/>
          <w:wAfter w:w="7" w:type="dxa"/>
          <w:trHeight w:val="300"/>
        </w:trPr>
        <w:tc>
          <w:tcPr>
            <w:tcW w:w="3539" w:type="dxa"/>
            <w:tcBorders>
              <w:top w:val="nil"/>
              <w:left w:val="single" w:sz="4" w:space="0" w:color="auto"/>
              <w:bottom w:val="single" w:sz="4" w:space="0" w:color="auto"/>
              <w:right w:val="single" w:sz="4" w:space="0" w:color="auto"/>
            </w:tcBorders>
            <w:vAlign w:val="center"/>
          </w:tcPr>
          <w:p w:rsidR="00D71F98" w:rsidRDefault="00D71F98">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1.2. Индекс-дефлятор, %</w:t>
            </w:r>
          </w:p>
        </w:tc>
        <w:tc>
          <w:tcPr>
            <w:tcW w:w="134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105,7</w:t>
            </w:r>
          </w:p>
        </w:tc>
        <w:tc>
          <w:tcPr>
            <w:tcW w:w="1353"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107,1</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104,4</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104,3</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104,2</w:t>
            </w:r>
          </w:p>
        </w:tc>
      </w:tr>
      <w:tr w:rsidR="00D71F98">
        <w:tblPrEx>
          <w:tblCellMar>
            <w:top w:w="0" w:type="dxa"/>
            <w:bottom w:w="0" w:type="dxa"/>
          </w:tblCellMar>
        </w:tblPrEx>
        <w:trPr>
          <w:gridAfter w:val="1"/>
          <w:wAfter w:w="7" w:type="dxa"/>
          <w:trHeight w:val="855"/>
        </w:trPr>
        <w:tc>
          <w:tcPr>
            <w:tcW w:w="3539" w:type="dxa"/>
            <w:tcBorders>
              <w:top w:val="nil"/>
              <w:left w:val="single" w:sz="4" w:space="0" w:color="auto"/>
              <w:bottom w:val="single" w:sz="4" w:space="0" w:color="auto"/>
              <w:right w:val="single" w:sz="4" w:space="0" w:color="auto"/>
            </w:tcBorders>
            <w:vAlign w:val="center"/>
          </w:tcPr>
          <w:p w:rsidR="00D71F98" w:rsidRDefault="00D71F98">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1.3. Темп роста в сопоставимых ценах, к соответствующему периоду предыдущего года, %</w:t>
            </w:r>
          </w:p>
        </w:tc>
        <w:tc>
          <w:tcPr>
            <w:tcW w:w="134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84,7</w:t>
            </w:r>
          </w:p>
        </w:tc>
        <w:tc>
          <w:tcPr>
            <w:tcW w:w="1353"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234,58</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100,00</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100,00</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100,00</w:t>
            </w:r>
          </w:p>
        </w:tc>
      </w:tr>
      <w:tr w:rsidR="00D71F98">
        <w:tblPrEx>
          <w:tblCellMar>
            <w:top w:w="0" w:type="dxa"/>
            <w:bottom w:w="0" w:type="dxa"/>
          </w:tblCellMar>
        </w:tblPrEx>
        <w:trPr>
          <w:gridAfter w:val="1"/>
          <w:wAfter w:w="7" w:type="dxa"/>
          <w:trHeight w:val="600"/>
        </w:trPr>
        <w:tc>
          <w:tcPr>
            <w:tcW w:w="3539" w:type="dxa"/>
            <w:tcBorders>
              <w:top w:val="nil"/>
              <w:left w:val="single" w:sz="4" w:space="0" w:color="auto"/>
              <w:bottom w:val="single" w:sz="4" w:space="0" w:color="auto"/>
              <w:right w:val="single" w:sz="4" w:space="0" w:color="auto"/>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 Инвестиции в основной капитал за счет бюджетных средств, тыс. руб.</w:t>
            </w:r>
          </w:p>
        </w:tc>
        <w:tc>
          <w:tcPr>
            <w:tcW w:w="134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67 836,00</w:t>
            </w:r>
          </w:p>
        </w:tc>
        <w:tc>
          <w:tcPr>
            <w:tcW w:w="1353"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58 348,00</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60 915,31</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63 534,67</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66 203,12</w:t>
            </w:r>
          </w:p>
        </w:tc>
      </w:tr>
      <w:tr w:rsidR="00D71F98">
        <w:tblPrEx>
          <w:tblCellMar>
            <w:top w:w="0" w:type="dxa"/>
            <w:bottom w:w="0" w:type="dxa"/>
          </w:tblCellMar>
        </w:tblPrEx>
        <w:trPr>
          <w:gridAfter w:val="1"/>
          <w:wAfter w:w="7" w:type="dxa"/>
          <w:trHeight w:val="600"/>
        </w:trPr>
        <w:tc>
          <w:tcPr>
            <w:tcW w:w="3539" w:type="dxa"/>
            <w:tcBorders>
              <w:top w:val="nil"/>
              <w:left w:val="single" w:sz="4" w:space="0" w:color="auto"/>
              <w:bottom w:val="single" w:sz="4" w:space="0" w:color="auto"/>
              <w:right w:val="single" w:sz="4" w:space="0" w:color="auto"/>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 Объем инвестиций без бюджетных средств, тыс. руб.</w:t>
            </w:r>
          </w:p>
        </w:tc>
        <w:tc>
          <w:tcPr>
            <w:tcW w:w="134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182 242,00</w:t>
            </w:r>
          </w:p>
        </w:tc>
        <w:tc>
          <w:tcPr>
            <w:tcW w:w="1353"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569 948,00</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595 025,71</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620 611,82</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646 677,51</w:t>
            </w:r>
          </w:p>
        </w:tc>
      </w:tr>
      <w:tr w:rsidR="00D71F98">
        <w:tblPrEx>
          <w:tblCellMar>
            <w:top w:w="0" w:type="dxa"/>
            <w:bottom w:w="0" w:type="dxa"/>
          </w:tblCellMar>
        </w:tblPrEx>
        <w:trPr>
          <w:gridAfter w:val="1"/>
          <w:wAfter w:w="7" w:type="dxa"/>
          <w:trHeight w:val="900"/>
        </w:trPr>
        <w:tc>
          <w:tcPr>
            <w:tcW w:w="3539" w:type="dxa"/>
            <w:tcBorders>
              <w:top w:val="nil"/>
              <w:left w:val="single" w:sz="4" w:space="0" w:color="auto"/>
              <w:bottom w:val="single" w:sz="4" w:space="0" w:color="auto"/>
              <w:right w:val="single" w:sz="4" w:space="0" w:color="auto"/>
            </w:tcBorders>
            <w:vAlign w:val="center"/>
          </w:tcPr>
          <w:p w:rsidR="00D71F98" w:rsidRDefault="00D71F98">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4. </w:t>
            </w:r>
            <w:r>
              <w:rPr>
                <w:rFonts w:ascii="Times New Roman CYR" w:hAnsi="Times New Roman CYR" w:cs="Times New Roman CYR"/>
                <w:b/>
                <w:bCs/>
                <w:color w:val="C00000"/>
              </w:rPr>
              <w:t xml:space="preserve">Среднегодовая </w:t>
            </w:r>
            <w:r>
              <w:rPr>
                <w:rFonts w:ascii="Times New Roman CYR" w:hAnsi="Times New Roman CYR" w:cs="Times New Roman CYR"/>
                <w:color w:val="000000"/>
              </w:rPr>
              <w:t>численность населения муниципального, городского округа (муниципального района), чел.</w:t>
            </w:r>
          </w:p>
        </w:tc>
        <w:tc>
          <w:tcPr>
            <w:tcW w:w="134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18 293</w:t>
            </w:r>
          </w:p>
        </w:tc>
        <w:tc>
          <w:tcPr>
            <w:tcW w:w="1353"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18 119</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18 005</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17 901</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17 805</w:t>
            </w:r>
          </w:p>
        </w:tc>
      </w:tr>
      <w:tr w:rsidR="00D71F98">
        <w:tblPrEx>
          <w:tblCellMar>
            <w:top w:w="0" w:type="dxa"/>
            <w:bottom w:w="0" w:type="dxa"/>
          </w:tblCellMar>
        </w:tblPrEx>
        <w:trPr>
          <w:gridAfter w:val="1"/>
          <w:wAfter w:w="7" w:type="dxa"/>
          <w:trHeight w:val="1009"/>
        </w:trPr>
        <w:tc>
          <w:tcPr>
            <w:tcW w:w="3539" w:type="dxa"/>
            <w:tcBorders>
              <w:top w:val="nil"/>
              <w:left w:val="single" w:sz="4" w:space="0" w:color="auto"/>
              <w:bottom w:val="single" w:sz="4" w:space="0" w:color="auto"/>
              <w:right w:val="single" w:sz="4" w:space="0" w:color="auto"/>
            </w:tcBorders>
            <w:vAlign w:val="center"/>
          </w:tcPr>
          <w:p w:rsidR="00D71F98" w:rsidRDefault="00D71F98">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 xml:space="preserve">5. Объем инвестиций в основной капитал (за исключением бюджетных средств) в расчете на 1 человека населения, руб. </w:t>
            </w:r>
          </w:p>
        </w:tc>
        <w:tc>
          <w:tcPr>
            <w:tcW w:w="134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9 962,39</w:t>
            </w:r>
          </w:p>
        </w:tc>
        <w:tc>
          <w:tcPr>
            <w:tcW w:w="1353"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31 455,82</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33 047,80</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34 669,11</w:t>
            </w:r>
          </w:p>
        </w:tc>
        <w:tc>
          <w:tcPr>
            <w:tcW w:w="1260" w:type="dxa"/>
            <w:tcBorders>
              <w:top w:val="nil"/>
              <w:left w:val="nil"/>
              <w:bottom w:val="single" w:sz="4" w:space="0" w:color="auto"/>
              <w:right w:val="single" w:sz="4" w:space="0" w:color="auto"/>
            </w:tcBorders>
            <w:vAlign w:val="center"/>
          </w:tcPr>
          <w:p w:rsidR="00D71F98" w:rsidRDefault="00D71F98">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36 319,99</w:t>
            </w:r>
          </w:p>
        </w:tc>
      </w:tr>
    </w:tbl>
    <w:p w:rsidR="00D71F98" w:rsidRDefault="00D71F98">
      <w:pPr>
        <w:widowControl w:val="0"/>
        <w:autoSpaceDE w:val="0"/>
        <w:autoSpaceDN w:val="0"/>
        <w:adjustRightInd w:val="0"/>
        <w:spacing w:after="0" w:line="240" w:lineRule="auto"/>
        <w:rPr>
          <w:rFonts w:ascii="MS Sans Serif" w:hAnsi="MS Sans Serif" w:cs="MS Sans Serif"/>
          <w:sz w:val="16"/>
          <w:szCs w:val="16"/>
        </w:rPr>
      </w:pP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6. Транспорт и связь</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Транспорт</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Протяженность автомобильных дорог общего пользования на территории района составляет 509,34 км. </w:t>
      </w:r>
    </w:p>
    <w:p w:rsidR="00D71F98" w:rsidRDefault="00D71F98">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Протяженность автомобильных дорог общего пользования местного значения составляет 265,8 км, в т. ч. с твердым покрытием – 227,3 км. Протяженность улично-дорожной сети сельских поселений с усовершенствованным типом покрытия – 33 км. Протяженность дорог, не отвечающих нормативным требованиям – 114,4.  В целях уточнения данных по транспортно-эксплуатационному состоянию автомобильных дорог местного значения Балахтинского района и искусственных сооружений на них, а также технических средств организации дорожного движения в 2019 году была проведена инвентаризация автомобильных дорог.</w:t>
      </w:r>
    </w:p>
    <w:p w:rsidR="00D71F98" w:rsidRDefault="00D71F98">
      <w:pPr>
        <w:autoSpaceDE w:val="0"/>
        <w:autoSpaceDN w:val="0"/>
        <w:adjustRightInd w:val="0"/>
        <w:spacing w:after="0" w:line="240" w:lineRule="auto"/>
        <w:ind w:firstLine="851"/>
        <w:jc w:val="both"/>
        <w:rPr>
          <w:rFonts w:ascii="Times New Roman CYR" w:hAnsi="Times New Roman CYR" w:cs="Times New Roman CYR"/>
          <w:color w:val="FF0000"/>
          <w:sz w:val="28"/>
          <w:szCs w:val="28"/>
        </w:rPr>
      </w:pPr>
      <w:r>
        <w:rPr>
          <w:rFonts w:ascii="Times New Roman CYR" w:hAnsi="Times New Roman CYR" w:cs="Times New Roman CYR"/>
          <w:sz w:val="28"/>
          <w:szCs w:val="28"/>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85,5%.</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Протяженность дорог с асфальтобетонным покрытием – 33 км, что составляет 12,4% от общей протяженности дорог (п.Балахта, с.Кожаны, п.Приморск), с переходным типом (ЩПС, ГПС, ц/б) – 194,28 км, грунтовых автомобильных дорог местного значения – 38,53 км. во всех населенных пунктах.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услуг транспорта всех видов в 2020 году составил 19,3 млн.руб. (темп роста по отношению к 2019 году в сопоставимых ценах составляет 84,69%).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ind w:firstLine="720"/>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Объем перевозок пассажиров всеми видами транспорта составил в 2020 году – 242,192 тыс.чел. В 2019 году было перевезено 332,82 тысяч человек. Снижение по показателю составило значительное (90,63 тыс.человек) так как были сокращены рейсы автомобильных перевозок по муниципальным маршрутам, в связи с ограничительными мерами в период пандемии, а также с тем, что в районе имеется тенденция ежегодного снижения численности населения, улучшение качества услуг такси, что привлекательно для жителей, а также приобретение населением района личного автотранспорта. </w:t>
      </w:r>
    </w:p>
    <w:p w:rsidR="00D71F98" w:rsidRDefault="00D71F9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районе по состоянию на 1 января 2021 года осуществляет пассажирские перевозки Балахтинский филиал ГПКК «Краевое АТП». С предприятием были заключены муниципальные контракты на выполнение работ, связанных с осуществлением регулярных перевозок пассажиров и багажа автомобильным транспортом до конца 2021 года по 16 маршрутам. </w:t>
      </w:r>
    </w:p>
    <w:p w:rsidR="00D71F98" w:rsidRDefault="00D71F9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Расчет доходов, полученных перевозчиками на 2019 год произведен из предельного тарифа на городские пассажирские автомобильные перевозки - 19 рублей, пригородные пассажирские перевозки 2,11 рублей, междугородные (внутрирайонные) – 2,32 рублей. На прогнозные годы программой пассажирских перевозок предусмотрено увеличение тарифа, как по городским, так и по пригородным и междугородним (внутрирайонным) маршрутам. </w:t>
      </w:r>
    </w:p>
    <w:p w:rsidR="00D71F98" w:rsidRDefault="00D71F98">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Грузовые перевозки на территории района осуществляют ООО «Сибугольтранс», МБУ «Трансавто», индивидуальные предприниматели. Основной объем грузовых перевозок составляет перевозка угля, что более двух миллионов тонн в 2020 году. </w:t>
      </w:r>
    </w:p>
    <w:p w:rsidR="00D71F98" w:rsidRDefault="00D71F98">
      <w:pPr>
        <w:tabs>
          <w:tab w:val="left" w:pos="851"/>
        </w:tabs>
        <w:autoSpaceDE w:val="0"/>
        <w:autoSpaceDN w:val="0"/>
        <w:adjustRightInd w:val="0"/>
        <w:spacing w:after="0" w:line="24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Планируется увеличение в плановом периоде. Прогноз 2021 года и план 2022-2024 по показателю объема грузовых перевозок планируется увеличение, в связи с тем, что ООО «Сибуголь» увеличивает объемы добычи и соответственно реализации угля, что потребует большего количества грузовых перевозок.   </w:t>
      </w:r>
      <w:r>
        <w:rPr>
          <w:rFonts w:ascii="Times New Roman CYR" w:hAnsi="Times New Roman CYR" w:cs="Times New Roman CYR"/>
          <w:sz w:val="28"/>
          <w:szCs w:val="28"/>
        </w:rPr>
        <w:tab/>
      </w:r>
    </w:p>
    <w:p w:rsidR="00D71F98" w:rsidRDefault="00D71F98">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районе имеется паромная переправа на автомобильных дорогах местного значения, по которой пассажирские перевозки водным транспортом осуществляет АО «ПассажирРечТранс» по маршруту Даурск - Черемушки. Объем пассажирских перевозок водным транспортом в 2020 году в районе составляет 8,29 тыс.чел. Показатель ниже 2019 на 11,9%. Бесперебойную работу паромной переправы осуществляет теплоход «Копьево» и Паром – 17, на весенне-осенней период судно на воздушной подушке «Арктика-10».               </w:t>
      </w:r>
    </w:p>
    <w:p w:rsidR="00D71F98" w:rsidRDefault="00D71F9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Расчет доходов, полученных перевозчиками на 2020 год произведен из предельного тарифа на перевозку пассажиров – 14,5 рублей, на перевозку грузов - 194 рубля за тонну. </w:t>
      </w:r>
    </w:p>
    <w:p w:rsidR="00D71F98" w:rsidRDefault="00D71F98">
      <w:pPr>
        <w:tabs>
          <w:tab w:val="left" w:pos="72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Пассажирооборот всех видов транспорта в 2020 году составил 5,87 млн.пасс-км. </w:t>
      </w:r>
    </w:p>
    <w:p w:rsidR="00D71F98" w:rsidRDefault="00D71F98">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населения, проживающего в населенных пунктах, имеющих регулярное автобусное сообщение в 2020 году составило 16,5 тыс.чел. Соответственно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в 2020 году составила 8,79%. На прогнозируемые годы 2021 г - 8,78 %, 2022 г - 8,77%, 2023 г - 8,76%. Снижение показателя связано с тем, что население района на прогнозные годы имеет тенденцию к уменьшению.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всего периода до 2030 года, согласно утвержденной Стратегии социально-экономического развития планируется принимать участие в краевых программах по ремонту и содержанию автомобильных дорог в районе:</w:t>
      </w:r>
    </w:p>
    <w:p w:rsidR="00D71F98" w:rsidRDefault="00D71F98">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развитие транспортной инфраструктуры района путем капитального ремонта и ремонта сети, муниципальных дорог за счет средств краевого бюджета, а также посредством реализации проекта разработки карьера, суть которого заключается в геологическом изучении, разведки и добычи песчано-гравийных пород на проявлении Жура, располагающихся в 11 км. юго-западнее п. Балахта, с прогнозными ресурсами 2214 тыс. м3. Реализация данного проекта позволит организовать работы по ремонту и содержанию дорог в плановом режиме;</w:t>
      </w:r>
    </w:p>
    <w:p w:rsidR="00D71F98" w:rsidRDefault="00D71F98">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повышение качества и долговечности дорожных покрытий путем стимулирования внедрения новых эффективных технологий дорожного строительства;</w:t>
      </w:r>
    </w:p>
    <w:p w:rsidR="00D71F98" w:rsidRDefault="00D71F98">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w:t>
      </w:r>
    </w:p>
    <w:p w:rsidR="00D71F98" w:rsidRDefault="00D71F98">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гарантированной транспортной доступности территорий района путем сохранения гарантирующих поставщиков транспортных услуг, обеспечивающих выполнение социально-значимых перевозок, а также субсидирования перевозок из средств бюджета.</w:t>
      </w:r>
    </w:p>
    <w:p w:rsidR="00D71F98" w:rsidRDefault="00D71F98">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видом транспорта в районе является автомобильный. Вследствие того, что значительная часть района расположена на правом берегу Красноярского водохранилища, большое значение для экономики района имеет развитие водного транспорта. </w:t>
      </w:r>
    </w:p>
    <w:p w:rsidR="00D71F98" w:rsidRDefault="00D71F98">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 обеспечивающих выполнение социально-значимых перевозок, а также субсидирования перевозок из средств бюджета.</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Информатизация и связь</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18"/>
          <w:szCs w:val="18"/>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Информационно-коммуникационный комплекс является важным инфраструктурным элементом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в реальном секторе экономики, в конечном счете - к становлению современного информационного общества.</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Балахтинского района основным фактором, препятствующим интеграции в глобальное информационное общество, является цифровое неравенство территорий, выражающееся в резком сокращении количества доступных телекоммуникационных услуг по мере удаления от п.Балахта при значительном росте их удельной стоимости и снижении качества. Сегодня в районе 16,3% населения не обеспечено услугами сотовой связи (это 14 населенных пунктов и почти 3 тысячи жителей), 5,7% жителей проживают в населенных пунктах с неустойчивой связью.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 каждым годом растет объем информации, появляются современные средства, методы, технологии обработки и восприятия этой информации. Это свидетельствует о том, что процесс внедрения в общество информационных технологий будет постоянно продолжаться и совершенствоваться. В связи с этим Балахтинский район в 2019 году стал участником мероприятия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в рамках которого в 2020 году на территории с.Грузенка будет оказана услуга по предоставлению доступа к услугам сотовой связи. На перспективу запланировано участие района по другим населенным пунктам, в частности в 2021 году – с.Петропавловка, в 2022 году – п.Щетинкина. К 2023 году удастся снизить процент необеспеченных жителей услугами сотовой связи на 2,5% (или почти 500 жителей).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рамках федерального проекта «Информационная инфраструктура» национальной программы «Цифровая экономика 2024» до конца 2021 года планируется подключить к сети Интернет объекты социальной сферы, в том числе общеобразовательные школы, фельдшерско-акушерские пункты, пожарные части и др. В 2021 году планируется подключение оставшихся администраций сельсоветов, в частности Петропавловского (территория не обеспечена услугами сотовой связи) и Большесырского. </w:t>
      </w:r>
    </w:p>
    <w:p w:rsidR="00D71F98" w:rsidRDefault="00D71F98">
      <w:pPr>
        <w:autoSpaceDE w:val="0"/>
        <w:autoSpaceDN w:val="0"/>
        <w:adjustRightInd w:val="0"/>
        <w:spacing w:after="0" w:line="240" w:lineRule="auto"/>
        <w:ind w:firstLine="708"/>
        <w:jc w:val="both"/>
        <w:rPr>
          <w:rFonts w:ascii="Calibri" w:hAnsi="Calibri" w:cs="Calibri"/>
        </w:rPr>
      </w:pP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Связь на территории района осуществляют:</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телефонную - Филиал ПАО «Ростелеком»;</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почтовую – отделение почтовой связи Балахта Шарыповского почтампта УФПС Красноярского края - Филиал Федеральной государственной почтовой связи «Почта России». На территории района 13 стационарных отделений почтовой связи.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2020 году сотовую связь в районе осуществляли операторы: Теле-2, МТС, Билайн, Мегафон, Yota.</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Объем отгруженных товаров собственного производства, выполненных работ и услуг по разделу «Информатизация и связь» составил 1,5 млн.руб., что ниже уровня 2019 года на 9,18%.</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7. Малое и среднее предпринимательство</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 Результаты финансовой деятельности предприятий</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Сальдированный финансовый результат в 2020 году составил  – 379567 тыс.руб. Что касается прогноза,то планируется данный показатель увеличивать каждый год и в 2024 год планируется достичь показателя до уровня 399352,91 тыс.руб.</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9. Бюджет муниципального образования</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1,156,8 млн.руб. (в 2019 году 1079,8 млн.руб.), в том числе собственные доходы 796,8 млн.руб, что выше показателя 2019 года на 22,2%. Расходная часть районного бюджета составила – 1153,8 млн.руб., (в 2019 году 1059,7 млн. руб.).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Расходы консолидированного бюджета на жилищно-коммунальное хозяйство составили около 124,3 млн.руб., на образование – 569,5 тыс.руб. </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Расходы консолидированного бюджета на социальную политику – 31,2 млн.руб., на физическую культуру и спорт – 22,8 млн.руб.</w:t>
      </w:r>
    </w:p>
    <w:p w:rsidR="00D71F98" w:rsidRDefault="00D71F9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муниципального долга составил в 2020 году – 14 500 тыс.руб. </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10. Общественное питание</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Сеть общественного питания представлена 7 столовыми на 166 места, 20 столовыми, состоящими на балансе учебных заведений, организаций и промышленных предприятий на 1440 места, 10 кафе на 256 мест, общей площадью 555,9 кв.м. </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Оборот общественного питания в 2020 году составил 52,6 млн.руб, что меньше на 11,2 млн.руб. (20,4%), чем в прошлом году, что связано с открытием столовой. Прогнозные показатели 2021 года ниже уровня отчетного года, так как предприятия общественного питания понесли убытки, в связи распространением новой коронавирусной инфекции. Плановые показатели 2022-2024 гг.имеют тенденцию роста, что связано с увеличением объемов существующей сети и открытием новых мест общественного питания в Балахте.  </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11. Розничная торговля</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Сеть розничной торговли представлена 107 магазинами с площадью торговых залов 9146,6 кв.м, В районе работают 7 аптек, 17 аптечных киосков. </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органов государственной статистики оборот розничной торговли в 2020 году составил 1934,4 млн.руб.  (сокращение показателя на 5,86% к уровню 2019 года), что связано с увеличением оборота в существующей сети и открытием нового магазина. </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12. Платные услуги населению</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платных услуг, оказываемых населению организациями и учреждениями района, составил в 2020 году 601,2 млн. руб., что ниже уровня 2019 года на 10,1%. Сокращение показателя наблюдается по всем видам платных услуг от 4,97 до 41,3%. </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13. Уровень жизни населения</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Среднедушевые денежные доходы в месяц в 2020 году составили 20991,4 рублей, повышение, в сравнении с 2019 годом составило 12%. В 2021 году планируется 22460,8 рублей, в 2022 году – 23830,9 руб., в 2023 году - 25475,2 рублей, в 2024 году - 27233,0 рублей.  </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Фонд оплаты труда в 2020 году составил 2059251,1 тыс.руб., в 2021 планируется увеличение на 8,6%.</w:t>
      </w:r>
    </w:p>
    <w:p w:rsidR="00D71F98" w:rsidRDefault="00D71F9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Среднемесячная заработная плата увеличилась на 10,75% и составила в 2020 году – 35803,1 руб., в 2021 году ожидается увеличение до – 39275,23 руб. Рост заработной платы произошел во всех отраслях района. Рост плановых показателей на прогнозные годы связан с повышениями заработной платы государственным и муниципальным служащим и работникам учреждений, а также с индексацией заработной платы работникам отраслей бюджетной сферы. Значительный рост заработной платы произошел в агропромышленном комплексе, в отрасли промышленности и в сфере строительства. В 2020 году рост заработной платы произошел в связи с компенсационными выплатами, связанными с распространением новой коронавирусной инфекции.  </w:t>
      </w:r>
    </w:p>
    <w:p w:rsidR="00D71F98" w:rsidRDefault="00D71F98" w:rsidP="004B25F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Администрацией района совместно с налоговыми органами проводится работа по доведению уровня заработной платы на предприятиях и организациях до величины прожиточного минимума.</w:t>
      </w:r>
    </w:p>
    <w:p w:rsidR="004B25FE" w:rsidRPr="004B25FE" w:rsidRDefault="004B25FE" w:rsidP="004B25FE">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14. Рынок труда</w:t>
      </w:r>
    </w:p>
    <w:p w:rsidR="00D71F98" w:rsidRDefault="00D71F98" w:rsidP="004B25F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факторов экономического роста является обеспеченность экономики района рабочей силой, отвечающей современным квалификационным требованиям.</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протяжении последних лет в районе наблюдается убыль трудоспособного населения. За пять лет численность сократилась на 4,3 % или на 778 человек. Молодежь и квалифицированные кадры мигрируют в города. Также существует проблема невозвращения в село обученной молодежи. Одной из первоочередных задач является привлечение и закрепление молодых специалистов на селе. </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2020 году среднегодовая численность трудоспособного населения в трудоспособном возрасте составила 7840 человек, что ниже уровня прошлого года на 0,4%.  </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повышением общеустановленного пенсионного возраста ожидается небольшое сокращение отрицательной численности трудовых ресурсов. Среднегодовая численность трудовых ресурсов составила 9063 человек, что ниже уровня аналогичного периода 2019 года на 96 человек.</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сокращения трудоспособного населения одним из важнейших факторов формирования трудового потенциала района может стать модернизация производства в имеющихся предприятиях, с целью создания высокопроизводительных рабочих мест, миграционный приток, вовлечение в трудовую деятельность большего количества выпускников Балахтинского аграрного техникума, жителей района из числа лиц с ограниченными возможностями здоровья, граждан пенсионного и предпенсионного возраста, создание условий для вывода из теневой экономики субъектов предпринимательства.</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район не обладает в полной мере экономической и социальной привлекательностью, отмечается недостаточное количество крупных градообразующих предприятий, низкий уровень доходов на селе, преобладание сезонных работ, недостаточный уровень социальной инфраструктуры, низкий уровень активности трудоустройства лиц, получающих различные социальные выплаты. </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Рост производительности труда, сопровождаемый взвешенной миграционной политикой, позволит сбалансировать потребности района в трудовых ресурсах, а высокая трудовая мобильность населения, развитая и гибкая система обучения и переобучения кадров обеспечит максимальный территориальный и структурный баланс спроса и предложений рабочей силы. </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15. Демографическая ситуация</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численность постоянно проживающего населения за 2020 год составляет 18,1 тыс.чел. Численность постоянно проживающего населения – 18,2 тыс.человек, в том числе численность населения, проживающего в городской местности, – 6,7 тыс.чел. (37% населения района), численность населения, проживающего в сельской местности, –  11,4 тыс.чел. (63% населения района). Численность городского населения относительно сельского выше, чем в 2019 году, что говорит о процессе урбанизации в районе.     </w:t>
      </w:r>
    </w:p>
    <w:p w:rsidR="00D71F98" w:rsidRDefault="00D71F9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Национальный состав населения (по итогам Всероссийской переписи населения): русские – 86,4 %, немцы – 6,3 %, чуваши – 1,8 %, украинцы – 1,4 %, мордва – 0,7 %, белорусы – 0,6 %, татары – 0,5 %, хакасы – 0,1%.</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16. Образование</w:t>
      </w:r>
    </w:p>
    <w:p w:rsidR="00D71F98" w:rsidRPr="004B25FE" w:rsidRDefault="00D71F98" w:rsidP="004B25FE">
      <w:pPr>
        <w:pStyle w:val="a3"/>
        <w:jc w:val="both"/>
        <w:rPr>
          <w:rFonts w:ascii="Times New Roman" w:hAnsi="Times New Roman"/>
          <w:b/>
          <w:bCs/>
          <w:sz w:val="28"/>
          <w:szCs w:val="28"/>
        </w:rPr>
      </w:pPr>
    </w:p>
    <w:p w:rsidR="00D71F98" w:rsidRDefault="00D71F98" w:rsidP="004B25FE">
      <w:pPr>
        <w:pStyle w:val="a3"/>
        <w:ind w:firstLine="720"/>
        <w:jc w:val="both"/>
        <w:rPr>
          <w:rFonts w:ascii="Times New Roman" w:hAnsi="Times New Roman"/>
          <w:b/>
          <w:bCs/>
          <w:sz w:val="28"/>
          <w:szCs w:val="28"/>
        </w:rPr>
      </w:pPr>
      <w:r w:rsidRPr="004B25FE">
        <w:rPr>
          <w:rFonts w:ascii="Times New Roman" w:hAnsi="Times New Roman"/>
          <w:b/>
          <w:bCs/>
          <w:sz w:val="28"/>
          <w:szCs w:val="28"/>
        </w:rPr>
        <w:t>Дошкольное образование</w:t>
      </w:r>
    </w:p>
    <w:p w:rsidR="004B25FE" w:rsidRPr="004B25FE" w:rsidRDefault="004B25FE" w:rsidP="004B25FE">
      <w:pPr>
        <w:pStyle w:val="a3"/>
        <w:jc w:val="both"/>
        <w:rPr>
          <w:rFonts w:ascii="Times New Roman" w:hAnsi="Times New Roman"/>
          <w:b/>
          <w:bCs/>
          <w:sz w:val="28"/>
          <w:szCs w:val="28"/>
        </w:rPr>
      </w:pPr>
    </w:p>
    <w:p w:rsidR="00D71F98" w:rsidRPr="004B25FE" w:rsidRDefault="00D71F98" w:rsidP="004B25FE">
      <w:pPr>
        <w:pStyle w:val="a3"/>
        <w:ind w:firstLine="720"/>
        <w:jc w:val="both"/>
        <w:rPr>
          <w:rFonts w:ascii="Times New Roman" w:hAnsi="Times New Roman"/>
          <w:sz w:val="28"/>
          <w:szCs w:val="28"/>
        </w:rPr>
      </w:pPr>
      <w:r w:rsidRPr="004B25FE">
        <w:rPr>
          <w:rFonts w:ascii="Times New Roman" w:hAnsi="Times New Roman"/>
          <w:sz w:val="28"/>
          <w:szCs w:val="28"/>
        </w:rPr>
        <w:t xml:space="preserve">В 2020 году в районе работало 8 муниципальных бюджетных дошкольных образовательных учреждений, из них 3 учреждения – в районном центре п. Балахта. В 3 сельских советах района (Грузенский, Петропавловский, и Черемушкинский) дошкольных образовательных учреждений нет. </w:t>
      </w:r>
    </w:p>
    <w:p w:rsidR="00D71F98" w:rsidRPr="004B25FE" w:rsidRDefault="00D71F98" w:rsidP="004B25FE">
      <w:pPr>
        <w:pStyle w:val="a3"/>
        <w:jc w:val="both"/>
        <w:rPr>
          <w:rFonts w:ascii="Times New Roman" w:hAnsi="Times New Roman"/>
          <w:sz w:val="28"/>
          <w:szCs w:val="28"/>
        </w:rPr>
      </w:pPr>
      <w:r w:rsidRPr="004B25FE">
        <w:rPr>
          <w:rFonts w:ascii="Times New Roman" w:hAnsi="Times New Roman"/>
          <w:sz w:val="28"/>
          <w:szCs w:val="28"/>
        </w:rPr>
        <w:t>Всего численность детей на 01.01.2021г в возрасте от 0 до 6 лет зарегистрированных на территории муниципального образования 1509 человек.</w:t>
      </w:r>
    </w:p>
    <w:p w:rsidR="00D71F98" w:rsidRPr="004B25FE" w:rsidRDefault="00D71F98" w:rsidP="004B25FE">
      <w:pPr>
        <w:pStyle w:val="a3"/>
        <w:jc w:val="both"/>
        <w:rPr>
          <w:rFonts w:ascii="Times New Roman" w:hAnsi="Times New Roman"/>
          <w:sz w:val="28"/>
          <w:szCs w:val="28"/>
        </w:rPr>
      </w:pPr>
      <w:r w:rsidRPr="004B25FE">
        <w:rPr>
          <w:rFonts w:ascii="Times New Roman" w:hAnsi="Times New Roman"/>
          <w:sz w:val="28"/>
          <w:szCs w:val="28"/>
        </w:rPr>
        <w:t xml:space="preserve">Численность детей на 01.01.2021 г от 0 до 7 лет, получающих услугу по дошкольному образованию – 860 человек. </w:t>
      </w:r>
    </w:p>
    <w:p w:rsidR="00D71F98" w:rsidRDefault="00D71F98" w:rsidP="004B25FE">
      <w:pPr>
        <w:pStyle w:val="a3"/>
        <w:jc w:val="both"/>
        <w:rPr>
          <w:rFonts w:ascii="Times New Roman" w:hAnsi="Times New Roman"/>
          <w:sz w:val="28"/>
          <w:szCs w:val="28"/>
        </w:rPr>
      </w:pPr>
      <w:r w:rsidRPr="004B25FE">
        <w:rPr>
          <w:rFonts w:ascii="Times New Roman" w:hAnsi="Times New Roman"/>
          <w:sz w:val="28"/>
          <w:szCs w:val="28"/>
        </w:rPr>
        <w:t>Численность детей стоящих на учёте на 01.01.2021г для определения в дошкольные образовательные учреждения Балахтинского района от 0 до 3 лет  220 детей, уменьшилось количество очередников на территории сельских советов в связи с охватом детей с полуторалетнего  возраста детей. От 3 до 7 лет очерёдность отсутствует.</w:t>
      </w:r>
    </w:p>
    <w:p w:rsidR="004B25FE" w:rsidRPr="004B25FE" w:rsidRDefault="004B25FE" w:rsidP="004B25FE">
      <w:pPr>
        <w:pStyle w:val="a3"/>
        <w:jc w:val="both"/>
        <w:rPr>
          <w:rFonts w:ascii="Times New Roman" w:hAnsi="Times New Roman"/>
          <w:sz w:val="28"/>
          <w:szCs w:val="28"/>
        </w:rPr>
      </w:pPr>
    </w:p>
    <w:p w:rsidR="00D71F98" w:rsidRDefault="00D71F98">
      <w:pPr>
        <w:shd w:val="clear" w:color="auto" w:fill="FFFFFF"/>
        <w:autoSpaceDE w:val="0"/>
        <w:autoSpaceDN w:val="0"/>
        <w:adjustRightInd w:val="0"/>
        <w:spacing w:after="0" w:line="240" w:lineRule="auto"/>
        <w:ind w:firstLine="709"/>
        <w:jc w:val="both"/>
        <w:rPr>
          <w:rFonts w:ascii="Times New Roman CYR" w:hAnsi="Times New Roman CYR" w:cs="Times New Roman CYR"/>
          <w:b/>
          <w:bCs/>
          <w:sz w:val="28"/>
          <w:szCs w:val="28"/>
        </w:rPr>
      </w:pPr>
      <w:r w:rsidRPr="004B25FE">
        <w:rPr>
          <w:rFonts w:ascii="Times New Roman CYR" w:hAnsi="Times New Roman CYR" w:cs="Times New Roman CYR"/>
          <w:b/>
          <w:bCs/>
          <w:sz w:val="28"/>
          <w:szCs w:val="28"/>
        </w:rPr>
        <w:t>Дневное общее образование</w:t>
      </w:r>
    </w:p>
    <w:p w:rsidR="004B25FE" w:rsidRPr="004B25FE" w:rsidRDefault="004B25FE">
      <w:pPr>
        <w:shd w:val="clear" w:color="auto" w:fill="FFFFFF"/>
        <w:autoSpaceDE w:val="0"/>
        <w:autoSpaceDN w:val="0"/>
        <w:adjustRightInd w:val="0"/>
        <w:spacing w:after="0" w:line="240" w:lineRule="auto"/>
        <w:ind w:firstLine="709"/>
        <w:jc w:val="both"/>
        <w:rPr>
          <w:rFonts w:ascii="Times New Roman CYR" w:hAnsi="Times New Roman CYR" w:cs="Times New Roman CYR"/>
          <w:b/>
          <w:bCs/>
          <w:sz w:val="28"/>
          <w:szCs w:val="28"/>
        </w:rPr>
      </w:pP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sidRPr="004B25FE">
        <w:rPr>
          <w:rFonts w:ascii="Times New Roman CYR" w:hAnsi="Times New Roman CYR" w:cs="Times New Roman CYR"/>
          <w:sz w:val="28"/>
          <w:szCs w:val="28"/>
        </w:rPr>
        <w:t>В 2020 году в районе осуществляли образовательную</w:t>
      </w:r>
      <w:r>
        <w:rPr>
          <w:rFonts w:ascii="Times New Roman CYR" w:hAnsi="Times New Roman CYR" w:cs="Times New Roman CYR"/>
          <w:sz w:val="28"/>
          <w:szCs w:val="28"/>
        </w:rPr>
        <w:t xml:space="preserve"> деятельность 18 муниципальных общеобразовательных учреждений. В общем числе учреждений включены 15 средних общеобразовательных школ; 3 основные общеобразовательные школы и 2 начальные общеобразовательные школы. Начальные и основные ОУ являются филиалами средних школ. Показатель указан для фиксации наличия начальных и основных школ в сети района.  Кроме того, в сети находятся 2 начальные школы в которых образовательная деятельность приостановлена и не осуществляется с 2010 года. Численность учащихся дневных общеобразовательных учреждений ежегодно увеличивается за счет увеличения количества первоклассников. За 9 лет количество учащихся первых классов увеличилось с 208 до 300 обучающихся.   В 2020 году общая численность обучающихся составила 2576 человек. В том числе численность учащихся в общеобразовательных учреждениях с ограниченными возможностями здоровья 2020 году составила 271 обучающийся. Средняя наполняемость классов в 2020 году -12,7. Численность учащихся, приходящихся на одного учителя, в 2020 году – 11. </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численность учащихся, подвозимых к общеобразовательным учреждениям, в 2020 году составила 385 человека. </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обучающихся в первую смену в 2020 году составила 538.  Увеличение показателя произошло за счет увеличения количества учеников в классах по параллелям, занимающихся во вторую смену и для исполнения  пункта 3.2. Постановления Главного государственного санитарного врача РФ от 30.06.2020 N 16 (ред. от 24.03.2021)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(вместе с "СП 3.1/2.4.3598-20. Санитарно-эпидемиологические правила...") (Зарегистрировано в Минюсте России 03.07.2020 N 58824). В общеобразовательных организациях за каждым классом должен быть закреплен отдельный учебный кабинет, в котором дети обучаются по всем предметам, за исключением занятий, требующих специального оборудования (в том числе физическая культура, изобразительное искусство, трудовое обучение, технология, физика, химия).</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Общеобразовательной организацией должна осуществляться работа по специально разработанному расписанию (графику) уроков, перемен, составленному с целью минимизации контактов обучающихся (в том числе сокращения их количества во время проведения термометрии, приема пищи в столовой).</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В 2020 учебном году увеличилось количество классов-комплектов на 8. В 2020 году произошло незначительное увеличение количества выпускников 11 классов общеобразовательных учреждений Балахтинского района. Данный показатель зависит от доли выпускников 9 классов, продолжающих обучение на уровне среднего общего образования. 38,1% учащихся 9 классов продолжили обучение в средней школе в 2019-20 учебном году.</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выпускники общеобразовательных организаций получили аттестаты о среднем образовании.</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D0D0E"/>
          <w:sz w:val="28"/>
          <w:szCs w:val="28"/>
        </w:rPr>
        <w:t xml:space="preserve">В связи со сложившейся эпидемиологической ситуацией,  режима самоизоляции на территории в течение летнего сезона </w:t>
      </w:r>
      <w:r>
        <w:rPr>
          <w:rFonts w:ascii="Times New Roman CYR" w:hAnsi="Times New Roman CYR" w:cs="Times New Roman CYR"/>
          <w:sz w:val="28"/>
          <w:szCs w:val="28"/>
        </w:rPr>
        <w:t>доля детей школьного возраста (от 7 до 17 лет), охваченных организованными формами отдыха, оздоровления и занятости за период летней оздоровительной кампании в 2020 году составила 0%.</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зданий и сооружений общеобразовательных организаций муниципальной формы  собственности, требующих капитального ремонта по прогнозу до  2024года  нет.</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СОШ. Строительство новой школы в п. Балахта  планируется на 2025 год.</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педагогических работников в 2020 года составила 314 человек из них учителей – 230 человек. В район прибыло 4 молодых учителя.  </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Учреждения дополнительного образования</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районе 2 муниципальных учреждения дополнительного образования, подведомственных управлению образования администрации Балахтинского района: МБУ ДО Центр внешкольной работы "Ровесник", МБУ ДО "Детско-юношеская спортивная школа"), 1 учреждение дополнительного образования, подведомственное управлению культуры-детская школа искусств. Кроме этого, программы дополнительного образования реализуются в 13 школах. Все организации имеют  лицензии на дополнительное образование. С 2020 года изменилась система учёта детей в дополнительном образовании:  запись детей в программы детей и их учёт осуществляется на </w:t>
      </w:r>
      <w:r>
        <w:rPr>
          <w:rFonts w:ascii="Times New Roman CYR" w:hAnsi="Times New Roman CYR" w:cs="Times New Roman CYR"/>
          <w:color w:val="000000"/>
          <w:sz w:val="28"/>
          <w:szCs w:val="28"/>
          <w:highlight w:val="white"/>
        </w:rPr>
        <w:t xml:space="preserve">региональном  интернет-портале </w:t>
      </w:r>
      <w:r>
        <w:rPr>
          <w:rFonts w:ascii="Times New Roman CYR" w:hAnsi="Times New Roman CYR" w:cs="Times New Roman CYR"/>
          <w:sz w:val="28"/>
          <w:szCs w:val="28"/>
        </w:rPr>
        <w:t xml:space="preserve">„Навигатор дополнительного образования Красноярского края», где зарегистрированы все образовательные организации ,имеющие  лицензии. Зарегистрированные организации разместили  на платформе „Навигатор“  143 программы. Электронное зачисление детей на программы дополнительного образования осуществляется через „Навигатор“. Согласно данным краевого портала,  доля детей, получающих услуги дополнительного образования в организациях всех форм собственности, в 2020г. составила 74,35 % </w:t>
      </w:r>
    </w:p>
    <w:p w:rsidR="00D71F98" w:rsidRDefault="00D71F98">
      <w:pPr>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Опека и попечительство </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2020 году численность детей-сирот и детей, оставшихся без попечения родителей, составила 202 человека, из которых 84 ребенка находятся под опекой (попечительством), 23 ребенка усыновленных, 54 ребенка воспитываются в приемных семьях, 41 воспитанник находится под надзором в КГКУ «Балахтинский детский дом». В сравнении с 2019 годом наблюдается уменьшение   на 21 человек за счёт проведения профилактических мер с семьями, имеющими детей, и уменьшения количества случаев лишения родителей родительских прав, а также за счет увеличения количества детей, достигших возраста совершеннолетия.  </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17. Культура</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autoSpaceDE w:val="0"/>
        <w:autoSpaceDN w:val="0"/>
        <w:adjustRightInd w:val="0"/>
        <w:spacing w:after="0" w:line="252" w:lineRule="auto"/>
        <w:ind w:right="175"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Культура</w:t>
      </w:r>
    </w:p>
    <w:p w:rsidR="00D71F98" w:rsidRDefault="00D71F98">
      <w:pPr>
        <w:autoSpaceDE w:val="0"/>
        <w:autoSpaceDN w:val="0"/>
        <w:adjustRightInd w:val="0"/>
        <w:spacing w:after="0" w:line="252" w:lineRule="auto"/>
        <w:ind w:right="175" w:firstLine="708"/>
        <w:jc w:val="both"/>
        <w:rPr>
          <w:rFonts w:ascii="Times New Roman CYR" w:hAnsi="Times New Roman CYR" w:cs="Times New Roman CYR"/>
          <w:b/>
          <w:bCs/>
          <w:color w:val="000000"/>
          <w:sz w:val="28"/>
          <w:szCs w:val="28"/>
        </w:rPr>
      </w:pPr>
      <w:r>
        <w:rPr>
          <w:rFonts w:ascii="Times New Roman CYR" w:hAnsi="Times New Roman CYR" w:cs="Times New Roman CYR"/>
          <w:sz w:val="28"/>
          <w:szCs w:val="28"/>
        </w:rPr>
        <w:t>Сеть учреждений культуры Балахтинского района    составляет</w:t>
      </w:r>
      <w:r>
        <w:rPr>
          <w:rFonts w:ascii="Times New Roman CYR" w:hAnsi="Times New Roman CYR" w:cs="Times New Roman CYR"/>
          <w:b/>
          <w:bCs/>
          <w:sz w:val="28"/>
          <w:szCs w:val="28"/>
        </w:rPr>
        <w:t xml:space="preserve"> 71 </w:t>
      </w:r>
      <w:r>
        <w:rPr>
          <w:rFonts w:ascii="Times New Roman CYR" w:hAnsi="Times New Roman CYR" w:cs="Times New Roman CYR"/>
          <w:sz w:val="28"/>
          <w:szCs w:val="28"/>
        </w:rPr>
        <w:t>учреждение.</w:t>
      </w:r>
      <w:r>
        <w:rPr>
          <w:rFonts w:ascii="Times New Roman CYR" w:hAnsi="Times New Roman CYR" w:cs="Times New Roman CYR"/>
          <w:b/>
          <w:bCs/>
          <w:color w:val="000000"/>
          <w:sz w:val="28"/>
          <w:szCs w:val="28"/>
        </w:rPr>
        <w:t xml:space="preserve"> </w:t>
      </w:r>
    </w:p>
    <w:p w:rsidR="00D71F98" w:rsidRDefault="00D71F98">
      <w:pPr>
        <w:autoSpaceDE w:val="0"/>
        <w:autoSpaceDN w:val="0"/>
        <w:adjustRightInd w:val="0"/>
        <w:spacing w:after="0" w:line="252" w:lineRule="auto"/>
        <w:ind w:right="175"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санитарно-эпидемиологической обстановкой и отменой массовых мероприятий  многие показатели результативности  снижены во всех учреждениях культуры по объективным причинам.  </w:t>
      </w:r>
    </w:p>
    <w:p w:rsidR="00D71F98" w:rsidRDefault="00D71F98">
      <w:pPr>
        <w:autoSpaceDE w:val="0"/>
        <w:autoSpaceDN w:val="0"/>
        <w:adjustRightInd w:val="0"/>
        <w:spacing w:line="252" w:lineRule="auto"/>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Информационно-библиотечное обслуживание населения </w:t>
      </w:r>
      <w:r>
        <w:rPr>
          <w:rFonts w:ascii="Times New Roman CYR" w:hAnsi="Times New Roman CYR" w:cs="Times New Roman CYR"/>
          <w:sz w:val="28"/>
          <w:szCs w:val="28"/>
        </w:rPr>
        <w:t xml:space="preserve">в Балахтинском районе </w:t>
      </w:r>
      <w:r>
        <w:rPr>
          <w:rFonts w:ascii="Times New Roman CYR" w:hAnsi="Times New Roman CYR" w:cs="Times New Roman CYR"/>
          <w:color w:val="000000"/>
          <w:sz w:val="28"/>
          <w:szCs w:val="28"/>
        </w:rPr>
        <w:t xml:space="preserve">осуществляют </w:t>
      </w:r>
      <w:r>
        <w:rPr>
          <w:rFonts w:ascii="Times New Roman CYR" w:hAnsi="Times New Roman CYR" w:cs="Times New Roman CYR"/>
          <w:b/>
          <w:bCs/>
          <w:color w:val="000000"/>
          <w:sz w:val="28"/>
          <w:szCs w:val="28"/>
        </w:rPr>
        <w:t>33 муниципальные общедоступные библиотеки</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  </w:t>
      </w:r>
    </w:p>
    <w:p w:rsidR="00D71F98" w:rsidRDefault="00D71F98">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Calibri" w:hAnsi="Calibri" w:cs="Calibri"/>
        </w:rPr>
        <w:t xml:space="preserve">    </w:t>
      </w:r>
      <w:r>
        <w:rPr>
          <w:rFonts w:ascii="Times New Roman CYR" w:hAnsi="Times New Roman CYR" w:cs="Times New Roman CYR"/>
          <w:sz w:val="28"/>
          <w:szCs w:val="28"/>
        </w:rPr>
        <w:t>В  2020 году в библиотеках были введены временные запреты на посещение библиотек пользователями, было приостановлено проведение массовых мероприятий, на основании этого плановые показатели не выполнены в полном объёме.</w:t>
      </w:r>
      <w:r>
        <w:rPr>
          <w:rFonts w:ascii="Times New Roman CYR" w:hAnsi="Times New Roman CYR" w:cs="Times New Roman CYR"/>
          <w:color w:val="000000"/>
          <w:sz w:val="28"/>
          <w:szCs w:val="28"/>
        </w:rPr>
        <w:t xml:space="preserve"> </w:t>
      </w:r>
    </w:p>
    <w:p w:rsidR="00D71F98" w:rsidRDefault="00D71F98">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 итогам 2020 года число читателей библиотек района составило - 7335 человек, книговыдача - </w:t>
      </w:r>
      <w:r>
        <w:rPr>
          <w:rFonts w:ascii="Times New Roman CYR" w:hAnsi="Times New Roman CYR" w:cs="Times New Roman CYR"/>
          <w:sz w:val="28"/>
          <w:szCs w:val="28"/>
        </w:rPr>
        <w:t>121529</w:t>
      </w:r>
      <w:r>
        <w:rPr>
          <w:rFonts w:ascii="Times New Roman CYR" w:hAnsi="Times New Roman CYR" w:cs="Times New Roman CYR"/>
          <w:color w:val="000000"/>
          <w:sz w:val="28"/>
          <w:szCs w:val="28"/>
        </w:rPr>
        <w:t xml:space="preserve">, посещения – 50562, проведено 976 мероприятий в офлайн-формате и 50 мероприятий прошло в онлайн-формате.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Библиотеки приняли участие в 14 краевых, 13 всероссийских и региональных конкурсах и акциях. В которых получили 9 дипломов финалистов/призеров. Библиотеки получили 109 сертификатов/благодарственных писем за участие в конкурсах разных уровней.</w:t>
      </w:r>
    </w:p>
    <w:p w:rsidR="00D71F98" w:rsidRDefault="00D71F98">
      <w:pPr>
        <w:autoSpaceDE w:val="0"/>
        <w:autoSpaceDN w:val="0"/>
        <w:adjustRightInd w:val="0"/>
        <w:spacing w:after="0" w:line="240" w:lineRule="auto"/>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2020 году МБУК «Балахтинская ЦБС»  освоили субсидию из краевого бюджета в размере 500 000 руб.. В центральную районную библиотеку был приобретен планетарный сканер ЭларСкан А2-Н,</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предназначенный для быстрой  оцифровки книг, журналов  и других документов. </w:t>
      </w:r>
    </w:p>
    <w:p w:rsidR="00D71F98" w:rsidRDefault="00D71F98">
      <w:pPr>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2020г. приобретена  литература для инвалидов по зрению (Рельефно- точечный шрифт Брайля) на сумму 49680,00 руб. в количестве 30 экз.</w:t>
      </w:r>
    </w:p>
    <w:p w:rsidR="00D71F98" w:rsidRDefault="00D71F98">
      <w:pPr>
        <w:autoSpaceDE w:val="0"/>
        <w:autoSpaceDN w:val="0"/>
        <w:adjustRightInd w:val="0"/>
        <w:spacing w:after="0" w:line="240" w:lineRule="auto"/>
        <w:jc w:val="both"/>
        <w:rPr>
          <w:rFonts w:ascii="Times New Roman CYR" w:hAnsi="Times New Roman CYR" w:cs="Times New Roman CYR"/>
          <w:color w:val="000000"/>
          <w:sz w:val="28"/>
          <w:szCs w:val="28"/>
        </w:rPr>
      </w:pPr>
    </w:p>
    <w:p w:rsidR="00D71F98" w:rsidRDefault="00D71F98">
      <w:pPr>
        <w:autoSpaceDE w:val="0"/>
        <w:autoSpaceDN w:val="0"/>
        <w:adjustRightInd w:val="0"/>
        <w:spacing w:line="252"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sz w:val="28"/>
          <w:szCs w:val="28"/>
        </w:rPr>
        <w:t>1 детская  школа искусств</w:t>
      </w:r>
      <w:r>
        <w:rPr>
          <w:rFonts w:ascii="Times New Roman CYR" w:hAnsi="Times New Roman CYR" w:cs="Times New Roman CYR"/>
          <w:sz w:val="28"/>
          <w:szCs w:val="28"/>
        </w:rPr>
        <w:t xml:space="preserve"> с численностью учащихся 182 человека.           </w:t>
      </w:r>
    </w:p>
    <w:p w:rsidR="00D71F98" w:rsidRDefault="00D71F98">
      <w:pPr>
        <w:autoSpaceDE w:val="0"/>
        <w:autoSpaceDN w:val="0"/>
        <w:adjustRightInd w:val="0"/>
        <w:spacing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Деятельность   Балахтинской  детской школы искусств  направлена на реализацию своего основного предназначения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реализацию дополнительных    общеобразовательных программ в области искусств, в том числе для учащихся с ограниченными возможностями здоровья и организацию творческой деятельности обучающихся. </w:t>
      </w:r>
    </w:p>
    <w:p w:rsidR="00D71F98" w:rsidRDefault="00D71F98">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Учащиеся и преподаватели  на протяжении  2020г. участвовали более  чем, в 40 конкурсах разных уровней   (в дистанционной форме),                        </w:t>
      </w:r>
    </w:p>
    <w:p w:rsidR="00D71F98" w:rsidRDefault="00D71F98">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где более  50  раз становились лауреатами и  дипломантами.</w:t>
      </w:r>
    </w:p>
    <w:p w:rsidR="00D71F98" w:rsidRDefault="00D71F98">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Несмотря на сложную обстановку в стране, связанную с пандемией и дистанционным обучением, Балахтинская ДШИ выпустила своих первых выпускников по дополнительной предпрофессиональной программе «Музыкальный фольклор».</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Calibri" w:hAnsi="Calibri" w:cs="Calibri"/>
        </w:rPr>
        <w:t xml:space="preserve">   </w:t>
      </w:r>
      <w:r>
        <w:rPr>
          <w:rFonts w:ascii="Times New Roman CYR" w:hAnsi="Times New Roman CYR" w:cs="Times New Roman CYR"/>
          <w:sz w:val="28"/>
          <w:szCs w:val="28"/>
        </w:rPr>
        <w:t>Шестой год    ДШИ     использует  инновационные методы в пропаганде инструментального мастерства, это школьные конкурсы одаренных детей в области музыкального исполнительства,  в игре на баяне «Играй, мой баян», на фортепиано «Звуки весеннего вдохновения» и конкурс скороговорок «Маланья-болтунья» на отделении музыкального фольклора, появился еще один проект школьного конкурса «Мелодия цвета» по декоративно-прикладному творчеству.</w:t>
      </w:r>
      <w:r w:rsidR="004B25FE">
        <w:rPr>
          <w:rFonts w:ascii="Times New Roman CYR" w:hAnsi="Times New Roman CYR" w:cs="Times New Roman CYR"/>
          <w:sz w:val="28"/>
          <w:szCs w:val="28"/>
        </w:rPr>
        <w:t xml:space="preserve"> </w:t>
      </w:r>
      <w:r>
        <w:rPr>
          <w:rFonts w:ascii="Times New Roman CYR" w:hAnsi="Times New Roman CYR" w:cs="Times New Roman CYR"/>
          <w:sz w:val="28"/>
          <w:szCs w:val="28"/>
        </w:rPr>
        <w:t>За счет местного бюджета  приобрели аккордеон.</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рамках </w:t>
      </w:r>
      <w:r w:rsidR="004B25FE">
        <w:rPr>
          <w:rFonts w:ascii="Times New Roman CYR" w:hAnsi="Times New Roman CYR" w:cs="Times New Roman CYR"/>
          <w:sz w:val="28"/>
          <w:szCs w:val="28"/>
        </w:rPr>
        <w:t>федерального проекта</w:t>
      </w:r>
      <w:r>
        <w:rPr>
          <w:rFonts w:ascii="Times New Roman CYR" w:hAnsi="Times New Roman CYR" w:cs="Times New Roman CYR"/>
          <w:sz w:val="28"/>
          <w:szCs w:val="28"/>
        </w:rPr>
        <w:t xml:space="preserve"> «Творческие люди» заявленные  специалисты прошли повышение квалификации на заочном обучении с применением дистанционных технологий на базе Центров непрерывного образования  и повышения квалификации творческих и управленческих кадров.</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Один педагог ДШИ удостоился сертификата  в краевом конкурсе «Лучший творческий работник в образовательной организации».</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1 учреждение музейного типа</w:t>
      </w:r>
      <w:r>
        <w:rPr>
          <w:rFonts w:ascii="Times New Roman CYR" w:hAnsi="Times New Roman CYR" w:cs="Times New Roman CYR"/>
          <w:sz w:val="28"/>
          <w:szCs w:val="28"/>
        </w:rPr>
        <w:t xml:space="preserve"> с количеством предметов основного фонда - 2100 ед. Работа краеведческого музея   велась в соответствии с важнейшими событиями в стране и районе. Основа деятельности - патриотическое направление, показывающее историю района, который дал стране имена героев войны и труда.  Работа ведется в едином русле с мероприятиями администрации Балахтинского района и широким кругом партнеров.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Сотрудники используют фонды музея для тематических выставок, экскурсий, уроков мужества, встреч с участниками событий, публикаций.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Традиционно из года в год проводятся музейные и выездные мероприятия с сопутствующими выставками или интерактивными играми –отклики на календарные даты и праздники. Большую часть праздников музей отмечал в варианте выкладывания материалов в соцсетях, на сайте и в организации временных выставок.</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Был организован прием  учащихся и учителей школы № 4 им.Бориса Богаткова г.Новосибирска на родину Героя ВОВ.</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период с марта по декабрь было проведено 7 мероприятий и выставок в онлайн-режиме: «Скучающие экспонаты», «Фронтовая реликвия», «Пасхальный стол», «Карантинные головоломки», «Ночь искусств», «Новогодние окна», конкурс «Новогодняя игрушка своими руками». Всего в онлайн-мероприятиях приняло участие 16730 человек (посчитано по результатам статистики социальных групп интернета).</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Сюжеты о работе музея  выложены в группах «Балахтинский краеведческий музей» в соцсетях «Одноклассники», «ВКонтакте»  и на сайте музея.</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36 учреждений культурно - досугового типа</w:t>
      </w:r>
      <w:r>
        <w:rPr>
          <w:rFonts w:ascii="Times New Roman CYR" w:hAnsi="Times New Roman CYR" w:cs="Times New Roman CYR"/>
          <w:sz w:val="28"/>
          <w:szCs w:val="28"/>
        </w:rPr>
        <w:t xml:space="preserve"> вместимостью зрительных залов 3837 мест.</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базе  МБУК «Балахтинская ЦКС»  работали 203 клубных формирования, их посещали 1989 человек.  7 творческих коллективов имеют почетные  звания «Народный»  и Образцовый» (вокальный ансамбль «Горлица», хор «Ветеран», образцовый  театр моды «Комплимент», образцовый театр кукол «Мир сказки», ансамбль немецкой культуры «Возрождение», вокальный ансамбль «Варенька». В 2020 году звание «Народный» было присвоено ансамблю шумовых инструментов «Славица».</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Творческие коллективы района активно участвуют в краевых, международных мероприятиях.  В 2020 году, несмотря на введенные ограничения, коллективы и солисты продолжали активно работать в данном направлении. Лауреатами  краевых и всероссийских фестивалей и конкурсов стали 15 творческих коллективов и 10  участников художественной самодеятельности. </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2020 году проведен капитальный  ремонт  (реконструкция)  филиала «Дом культуры села Кожаны» на сумму 9600090,78 руб., проведен  текущий ремонт в клубных учреждениях филиала «Дом культуры с.Тюльково на сумму 576197,00 руб., в рамках субсидии на разработку и корректировку проектно-сметной документации, проведена корректировка ПСД на реконструкцию здания РДК (п.Балахта) на сумму 3129999,00 руб .</w:t>
      </w:r>
    </w:p>
    <w:p w:rsidR="00D71F98" w:rsidRDefault="00D71F98">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Балахтинской централизованной клубной системе в результате конкурса была  выделена и   реализована субсидия на поддержку Образцового  театра моды «Комплимент» на сумму 160тыс 000,00 руб.</w:t>
      </w:r>
    </w:p>
    <w:p w:rsidR="00D71F98" w:rsidRDefault="00D71F9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Новые реальные условия, связанные с ограничениями из-за распространения коронавирусной инфекции, заставили перейти культурно-досуговые учреждения на другие форматы работы. Был создан Youtub -канал Балахтинской ЦКС.</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28. Физическая культура и спорт</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Участие района в субсидиях на модернизацию и укрепление материально технической базы и приобретение инвентаря и оборудования.</w:t>
      </w:r>
    </w:p>
    <w:p w:rsidR="00D71F98" w:rsidRDefault="00D71F98">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Физкультура на предприятиях и организациях ведется по территориальному принципу. На территориях инструкторы – методисты в организованных клубах по месту жительства граждан (на сегодняшний день на территории района 13 структурных подразделений КМЖ), на предприятиях и организациях тренеры - общественники. </w:t>
      </w:r>
    </w:p>
    <w:p w:rsidR="00D71F98" w:rsidRDefault="00D71F98">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 проводятся спартакиады между организациями района и территориями. Подготовка сборных команд для участия в зачетных видах спорта и спартакиадах среди районов края. Ежегодно по итогам года спортсменом района присваиваются спортивные разряды и спортивные звания. </w:t>
      </w:r>
    </w:p>
    <w:p w:rsidR="00D71F98" w:rsidRDefault="00D71F98">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С 2016 года в школах ведется активная работа по внедрению комплекса ГТО. изучаются испытания и нормативы комплекса, техника выполнения испытаний, порядок приема испытаний и получения знаков отличия не только по всем возрастным ступеням, но и проводится общее ознакомление среди воспитанников детских садов района.</w:t>
      </w:r>
    </w:p>
    <w:p w:rsidR="00D71F98" w:rsidRDefault="00D71F98">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Участие в федеральном проекте «Спорт- норма жизни» способствовало к открытию спортивной площадки для подготовки и сдачи норм ГТО в 2019 году, а также еще одной аналогичной площадки в 2020г. на территории п.Балахта, так же на территории п. Чистое Поле в 2020г. состоялось открытие футбольного поля с искусственным покрытием, что в позволило увеличить единовременную пропускную способность на 72 человека.</w:t>
      </w:r>
    </w:p>
    <w:p w:rsidR="00D71F98" w:rsidRDefault="00D71F98">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В 2021 году подтверждена краевая субсидия на устройство плоскостного сооружения (хоккейная коробка) с. Ровное и субсидия на модернизацию и укрепление материально-технической базы для устройства и покрытия беговых дорожек из резиновой крошки в п.Чистое Поле вокруг созданного футбольного поля.</w:t>
      </w:r>
    </w:p>
    <w:p w:rsidR="00D71F98" w:rsidRDefault="00D71F98">
      <w:pPr>
        <w:autoSpaceDE w:val="0"/>
        <w:autoSpaceDN w:val="0"/>
        <w:adjustRightInd w:val="0"/>
        <w:spacing w:after="0" w:line="240" w:lineRule="auto"/>
        <w:ind w:right="50" w:firstLine="540"/>
        <w:jc w:val="both"/>
        <w:rPr>
          <w:rFonts w:ascii="Times New Roman CYR" w:hAnsi="Times New Roman CYR" w:cs="Times New Roman CYR"/>
          <w:sz w:val="28"/>
          <w:szCs w:val="28"/>
        </w:rPr>
      </w:pPr>
      <w:r>
        <w:rPr>
          <w:rFonts w:ascii="Times New Roman CYR" w:hAnsi="Times New Roman CYR" w:cs="Times New Roman CYR"/>
          <w:sz w:val="28"/>
          <w:szCs w:val="28"/>
        </w:rPr>
        <w:t>На 2022 плановый год- вновь участие в федеральном проекте «Спорт- норма жизни» и установка спортивной площадки для подготовки и сдачи норм ГТО в п.Приморск.</w:t>
      </w:r>
    </w:p>
    <w:p w:rsidR="00D71F98" w:rsidRPr="004B25FE" w:rsidRDefault="00D71F98" w:rsidP="004B25F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Все выше перечисленное ведет к повышению всех показателей развития физической культуры и спорта в Балахтинском районе.</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20. Жилищно-коммунальное хозяйство</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ind w:right="566"/>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жилищно-коммунальном комплексе района осуществляется и будет осуществляться далее решение задач в целях улучшения качества предоставления жилищно-коммунальных услуг, обеспечения стабильного функционирования жилищного фонда и объектов коммунальной инженерной инфраструктуры, находящейся на территории района. </w:t>
      </w:r>
    </w:p>
    <w:p w:rsidR="00D71F98" w:rsidRDefault="00D71F98">
      <w:pPr>
        <w:widowControl w:val="0"/>
        <w:autoSpaceDE w:val="0"/>
        <w:autoSpaceDN w:val="0"/>
        <w:adjustRightInd w:val="0"/>
        <w:spacing w:after="0" w:line="240" w:lineRule="auto"/>
        <w:ind w:right="566"/>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Общая сумма доходов организаций от реализации жилищно-коммунальных услуг в 2020 году составила 96 914,00 тыс. рублей, к концу прогнозного периода доходы увеличатся до 102 728,84 тыс. рублей (оценка 2021 года – 98 852,28 тыс. рублей). За три прогнозных года прирост в действующих ценах составит 6 %.</w:t>
      </w:r>
    </w:p>
    <w:p w:rsidR="00D71F98" w:rsidRDefault="00D71F98">
      <w:pPr>
        <w:widowControl w:val="0"/>
        <w:autoSpaceDE w:val="0"/>
        <w:autoSpaceDN w:val="0"/>
        <w:adjustRightInd w:val="0"/>
        <w:spacing w:after="0" w:line="240" w:lineRule="auto"/>
        <w:ind w:right="566"/>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среднесрочном периоде ежегодная индексация регулируемых цен (тарифов) на коммунальные услуги (электро- и теплоэнергию, газ, водоснабжение и водоотведение) предусмотрена с 1 июля. Будет продолжена политика ограничения роста платы населения за коммунальные услуги в целях обеспечения доступности коммунальных услуг. </w:t>
      </w:r>
    </w:p>
    <w:p w:rsidR="00D71F98" w:rsidRDefault="00D71F98">
      <w:pPr>
        <w:widowControl w:val="0"/>
        <w:autoSpaceDE w:val="0"/>
        <w:autoSpaceDN w:val="0"/>
        <w:adjustRightInd w:val="0"/>
        <w:spacing w:after="0" w:line="240" w:lineRule="auto"/>
        <w:ind w:right="566"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Общая площадь жилищного фонда всех форм собственности района по базовому варианту прогноза в 2021 году составит 558,4 тыс.кв.м. К концу 2024 года увеличится до 564,0 тыс.кв.м. составит Обеспеченность граждан жилищным фондом, приходящаяся на 1 жителя в 2024 году по оценке увеличится с 30,1 кв.м./чел. на 31,0.</w:t>
      </w:r>
    </w:p>
    <w:p w:rsidR="00D71F98" w:rsidRDefault="00D71F98">
      <w:pPr>
        <w:widowControl w:val="0"/>
        <w:autoSpaceDE w:val="0"/>
        <w:autoSpaceDN w:val="0"/>
        <w:adjustRightInd w:val="0"/>
        <w:spacing w:after="0" w:line="240" w:lineRule="auto"/>
        <w:ind w:right="566"/>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2020 году расходы на капитальный ремонт объектов водоснабжения за счет всех источников финансирования составили – 12 228,89 тыс.рублей, в том числе из краевого бюджета – 12 003,73 тыс.рублей, из местного бюджета – 225,16 тыс.рублей. В рамках подпрограммы «Модернизация, реконструкция и капитальный ремонт объектов коммунальной инфраструктуры муниципальных образований» в 2021-2023 год предусмотрены мероприятия по предупреждению ситуаций, связанных с нарушением условий жизнедеятельности населения и повышения качества коммунальных услуг. Запланировано выполнение капитального ремонта 2-х водонапорных башен, а также приобретение блока механической очистки сточных вод на канализационную насосную станцию. Реализация мероприятий в среднесрочном периоде позволит сохранить уровень износа коммунальной инфраструктуры на уровне 2020 года – 62,2%. </w:t>
      </w:r>
    </w:p>
    <w:p w:rsidR="00D71F98" w:rsidRDefault="00D71F98">
      <w:pPr>
        <w:widowControl w:val="0"/>
        <w:autoSpaceDE w:val="0"/>
        <w:autoSpaceDN w:val="0"/>
        <w:adjustRightInd w:val="0"/>
        <w:spacing w:after="0" w:line="240" w:lineRule="auto"/>
        <w:ind w:right="566"/>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условиях субсидирования на компенсацию выпадающих доходов коммунальных организаций, в связи с применением предельного индекса цен повышения тарифов, в прогнозном периоде планируется сохранение показателя уровня возмещения населением затрат на предоставление жилищно-коммунальных услуг по установленным для населения тарифам на текущем уровне 72,5%.</w:t>
      </w:r>
    </w:p>
    <w:p w:rsidR="00D71F98" w:rsidRDefault="00D71F98">
      <w:pPr>
        <w:widowControl w:val="0"/>
        <w:autoSpaceDE w:val="0"/>
        <w:autoSpaceDN w:val="0"/>
        <w:adjustRightInd w:val="0"/>
        <w:spacing w:after="0" w:line="240" w:lineRule="auto"/>
        <w:ind w:right="566"/>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прогнозном периоде будет также продолжена реализация региональной программы капитального ремонта общего имущества в многоквартирных домах на период 2017-2046 годов, в рамках которой на 2021-2022 годы утвержден краткосрочный план капитального ремонта общего имущества в многоквартирных домах в 18 МКД.</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21. Экология</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водопотребления (забрано воды) из природных источников 3126,87 тыс.куб.м., объем водопотребления (забрано воды) из подземных источников 31268,7 тыс.куб.м., объем использования , забранной из природных источников составляет 579,8 тыс.куб.м. Объем использования воды, забранной из природных источников, используемой на производственные нужды- 100,41 тыс.куб.м. Объем использования воды, забранной из природных источников, используемой на хозяйственно-питьевые нужды – 318,3 тыс.куб.м. Количество водозаборных сооружений, оснащенных системами учета воды 9 единиц. Объем сброса загрязненных сточных вод (без очистки и недостаточно очищенных) в водные объекты, на рельеф, в подземные горизонты по итогам 2020 года составляет 2760,43 тыс.куб.м. Объем сброса загрязненных сточных вод в поверхностные водные объекты – 2721,19 тыс.куб.м.</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загрязняющих веществ, отходящих от стационарных источников загрязнения атмосферного воздуха, составил 1025,0 тонн, а уловленных и обезвреженных– 24,0 тонны, удельный вес уловленных и обезвреженных вредных веществ в общем объеме загрязняющих веществ, отходящих от стационарных источников загрязнения атмосферного воздуха составляет – 6,37 %, по данным Росприродназдзора по итогам 2020 года.</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Выброшено в атмосферный воздух загрязняющих веществ от стационарных источников загрязнения атмосферного воздуха – 1001 тонна, Темп роста объема выбросов в атмосферу загрязняющих веществ стационарными источниками загрязнения, к соответствующему периоду предыдущего года – 173,65 %.</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выбросов в атмосферный воздух загрязняющих веществ от передвижных источников составляет 7289,07 тонн, без изменений по сравнению с предыдущим годом.</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отходов производства и потребления в 2020 году составило 13417,00   тонны. Из них: образование отходов производства и потребления III класса опасности для окружающей природной среды - умеренно опасные составляет 4,0 тонны, образование отходов производства и потребления IV класса опасности для окружающей природной среды – малоопасные составляют 254 тонны, образование отходов производства и потребления V класса опасности для окружающей природной среды - практически неопасные составило – 13159 тонны.</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организация (МХ ООО «Универсал»), использующая отходы в качестве вторичных материальных ресурсов, на территории района, имеются отходы V класса опасности для окружающей природной среды – малоопасные – 6638,0 тонн.</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отходов, переданных для обезвреживания на территории района составляет 5 тонн, из них I класса опасности для окружающей природной среды отсутствуют, II класса опасности для окружающей природной среды – 2,0 тонны, III класса опасности для окружающей природной среды – 3,0 тонны.</w:t>
      </w:r>
    </w:p>
    <w:p w:rsidR="00D71F98" w:rsidRDefault="00D71F9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объектов размещения отходов, выполненных и эксплуатирующийся в соответствии с экологическими, строительными и санитарными нормами и правилами, согласно проектам, прошедшим государственную экспертизу – 1 с площадью 0,06 тыс. га и мощностью 4000 тонн.</w:t>
      </w:r>
    </w:p>
    <w:p w:rsidR="00D71F98" w:rsidRDefault="00D71F98">
      <w:pPr>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На территории Балахтинского района одно предприятие МХ ООО «Универсал» (ИНН  2403008221), юридический адрес: 662340, Красноярский край, Балахтинский район, поселок городского типа Балахта, улица Сурикова, 8, занимается утилизацией и переработкой бытовых и промышленных отходов.</w:t>
      </w:r>
    </w:p>
    <w:p w:rsidR="00D71F98" w:rsidRPr="004B25FE" w:rsidRDefault="00D71F98" w:rsidP="004B25F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Перевозкой твердых коммунальных отходов на территории Балахтинского района занимается организация ООО"Эко-Транспорт" По итогам 2020 год вывезено твердых бытовых отходов – 16,67  тыс. куб. м, что больше на 1,06  тыс. куб. м., чем в 2019 году. В 2020 году вывезено твердых коммунальных отходов на объекты, используемые для обработки отходов – 4,2 тыс. куб. м.</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8"/>
          <w:szCs w:val="28"/>
        </w:rPr>
        <w:t>22. Реализация на территории муниципального образования федеральных и краевых целевых программ</w:t>
      </w: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23. Проблемы при формировании мониторинга социально-экономического развития муниципального образования</w:t>
      </w:r>
    </w:p>
    <w:p w:rsidR="00D71F98" w:rsidRDefault="00D71F98">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24. Другое</w:t>
      </w: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p w:rsidR="00D71F98" w:rsidRDefault="00D71F98">
      <w:pPr>
        <w:widowControl w:val="0"/>
        <w:autoSpaceDE w:val="0"/>
        <w:autoSpaceDN w:val="0"/>
        <w:adjustRightInd w:val="0"/>
        <w:spacing w:after="0" w:line="240" w:lineRule="auto"/>
        <w:rPr>
          <w:rFonts w:ascii="Times New Roman CYR" w:hAnsi="Times New Roman CYR" w:cs="Times New Roman CYR"/>
          <w:sz w:val="24"/>
          <w:szCs w:val="24"/>
        </w:rPr>
      </w:pPr>
    </w:p>
    <w:sectPr w:rsidR="00D71F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Microsoft Sans Serif"/>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FE"/>
    <w:rsid w:val="00181C75"/>
    <w:rsid w:val="004B25FE"/>
    <w:rsid w:val="00D7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9B5CD8-BFD0-4928-AD91-53F7FF4D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10195</Words>
  <Characters>58117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Lenovo</cp:lastModifiedBy>
  <cp:revision>2</cp:revision>
  <dcterms:created xsi:type="dcterms:W3CDTF">2024-07-11T01:49:00Z</dcterms:created>
  <dcterms:modified xsi:type="dcterms:W3CDTF">2024-07-11T01:49:00Z</dcterms:modified>
</cp:coreProperties>
</file>