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B7" w:rsidRPr="00545B60" w:rsidRDefault="00260FB7" w:rsidP="00545B60">
      <w:pPr>
        <w:spacing w:after="0" w:line="240" w:lineRule="auto"/>
        <w:jc w:val="center"/>
        <w:rPr>
          <w:rStyle w:val="2"/>
          <w:rFonts w:eastAsiaTheme="minorHAnsi"/>
          <w:b w:val="0"/>
          <w:bCs w:val="0"/>
          <w:sz w:val="24"/>
          <w:szCs w:val="24"/>
        </w:rPr>
      </w:pPr>
      <w:r w:rsidRPr="00545B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FB7" w:rsidRPr="00545B60" w:rsidRDefault="00260FB7" w:rsidP="00545B60">
      <w:pPr>
        <w:pStyle w:val="a8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24"/>
        </w:rPr>
      </w:pPr>
      <w:r w:rsidRPr="00545B60">
        <w:rPr>
          <w:rFonts w:cs="Arial"/>
          <w:spacing w:val="100"/>
          <w:sz w:val="28"/>
          <w:szCs w:val="24"/>
        </w:rPr>
        <w:t xml:space="preserve">Красноярский край </w:t>
      </w:r>
    </w:p>
    <w:p w:rsidR="00260FB7" w:rsidRPr="00545B60" w:rsidRDefault="00260FB7" w:rsidP="00545B60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260FB7" w:rsidRPr="00545B60" w:rsidRDefault="000A7579" w:rsidP="00545B60">
      <w:pPr>
        <w:pStyle w:val="3"/>
        <w:tabs>
          <w:tab w:val="left" w:pos="-2410"/>
          <w:tab w:val="left" w:pos="567"/>
        </w:tabs>
        <w:rPr>
          <w:sz w:val="28"/>
          <w:szCs w:val="24"/>
        </w:rPr>
      </w:pPr>
      <w:r w:rsidRPr="00545B60">
        <w:rPr>
          <w:sz w:val="28"/>
          <w:szCs w:val="24"/>
        </w:rPr>
        <w:t>БАЛАХТИНСКИЙ РАЙОННЫЙ СОВЕТ ДЕПУТАТОВ</w:t>
      </w:r>
    </w:p>
    <w:p w:rsidR="007E0B45" w:rsidRDefault="007E0B45" w:rsidP="00545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B60" w:rsidRPr="00545B60" w:rsidRDefault="00545B60" w:rsidP="00545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</w:p>
    <w:p w:rsidR="00536BFA" w:rsidRPr="00545B60" w:rsidRDefault="00536BFA" w:rsidP="00545B60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Times New Roman" w:hAnsi="Times New Roman" w:cs="Times New Roman"/>
          <w:b/>
          <w:bCs/>
          <w:caps/>
          <w:color w:val="auto"/>
          <w:szCs w:val="24"/>
        </w:rPr>
      </w:pPr>
      <w:r w:rsidRPr="00545B60">
        <w:rPr>
          <w:rFonts w:ascii="Times New Roman" w:hAnsi="Times New Roman" w:cs="Times New Roman"/>
          <w:b/>
          <w:bCs/>
          <w:caps/>
          <w:color w:val="auto"/>
          <w:szCs w:val="24"/>
        </w:rPr>
        <w:t>Решение</w:t>
      </w:r>
    </w:p>
    <w:p w:rsidR="00536BFA" w:rsidRPr="00545B60" w:rsidRDefault="00536BFA" w:rsidP="00545B60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D1A" w:rsidRPr="00E62D1A" w:rsidRDefault="00E62D1A" w:rsidP="00E62D1A">
      <w:pPr>
        <w:tabs>
          <w:tab w:val="left" w:pos="-2410"/>
        </w:tabs>
        <w:rPr>
          <w:rFonts w:ascii="Times New Roman" w:hAnsi="Times New Roman" w:cs="Times New Roman"/>
          <w:sz w:val="24"/>
        </w:rPr>
      </w:pPr>
      <w:r w:rsidRPr="00E62D1A">
        <w:rPr>
          <w:rFonts w:ascii="Times New Roman" w:hAnsi="Times New Roman" w:cs="Times New Roman"/>
          <w:sz w:val="24"/>
        </w:rPr>
        <w:t xml:space="preserve">от 15.11.2023                       </w:t>
      </w:r>
      <w:r w:rsidRPr="00E62D1A">
        <w:rPr>
          <w:rFonts w:ascii="Times New Roman" w:hAnsi="Times New Roman" w:cs="Times New Roman"/>
          <w:sz w:val="24"/>
        </w:rPr>
        <w:tab/>
        <w:t xml:space="preserve">                       п. Балахта                                                   № 25-28</w:t>
      </w:r>
      <w:r>
        <w:rPr>
          <w:rFonts w:ascii="Times New Roman" w:hAnsi="Times New Roman" w:cs="Times New Roman"/>
          <w:sz w:val="24"/>
        </w:rPr>
        <w:t>4</w:t>
      </w:r>
      <w:r w:rsidRPr="00E62D1A">
        <w:rPr>
          <w:rFonts w:ascii="Times New Roman" w:hAnsi="Times New Roman" w:cs="Times New Roman"/>
          <w:sz w:val="24"/>
        </w:rPr>
        <w:t>р</w:t>
      </w:r>
    </w:p>
    <w:p w:rsidR="001278E4" w:rsidRPr="00E62D1A" w:rsidRDefault="001278E4" w:rsidP="00545B60">
      <w:pPr>
        <w:spacing w:after="0" w:line="240" w:lineRule="auto"/>
        <w:ind w:right="5101"/>
        <w:jc w:val="both"/>
        <w:rPr>
          <w:rFonts w:ascii="Times New Roman" w:hAnsi="Times New Roman" w:cs="Times New Roman"/>
          <w:sz w:val="10"/>
          <w:szCs w:val="10"/>
        </w:rPr>
      </w:pPr>
      <w:r w:rsidRPr="00E62D1A">
        <w:rPr>
          <w:rFonts w:ascii="Times New Roman" w:hAnsi="Times New Roman" w:cs="Times New Roman"/>
          <w:sz w:val="10"/>
          <w:szCs w:val="10"/>
        </w:rPr>
        <w:t xml:space="preserve"> </w:t>
      </w:r>
    </w:p>
    <w:p w:rsidR="003931CF" w:rsidRPr="00545B60" w:rsidRDefault="00260FB7" w:rsidP="00545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внесении изменений в решение </w:t>
      </w:r>
      <w:r w:rsidR="000A7579" w:rsidRPr="00545B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Балахтинского районного Совета депутатов </w:t>
      </w:r>
      <w:r w:rsidRPr="00545B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 </w:t>
      </w:r>
      <w:r w:rsidR="00927149" w:rsidRPr="00545B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23.11.2018 года №24-279р «Об утверждении Порядка предоставления иных межбюджетных трансфертов из бюджета Балахтинского муниципального района бюджетам поселений Балахтинского района»</w:t>
      </w:r>
    </w:p>
    <w:p w:rsidR="00260FB7" w:rsidRPr="00545B60" w:rsidRDefault="00260FB7" w:rsidP="0054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184" w:rsidRDefault="00545B60" w:rsidP="0054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27149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F17E31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="00F17E31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7149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>, 142.4</w:t>
      </w:r>
      <w:r w:rsidR="009B74B7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9B74B7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</w:t>
      </w:r>
      <w:r w:rsidR="00F122A2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9B74B7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116184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6, 22, 26 </w:t>
      </w:r>
      <w:r w:rsidR="009B74B7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116184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 района, Балахтинский районный Совет депутатов</w:t>
      </w:r>
    </w:p>
    <w:p w:rsidR="00545B60" w:rsidRPr="00545B60" w:rsidRDefault="00545B60" w:rsidP="00545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2"/>
          <w:szCs w:val="10"/>
          <w:lang w:eastAsia="ru-RU"/>
        </w:rPr>
      </w:pPr>
    </w:p>
    <w:p w:rsidR="00F122A2" w:rsidRDefault="009B74B7" w:rsidP="0054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E01C45" w:rsidRPr="0054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45B60" w:rsidRPr="00545B60" w:rsidRDefault="00545B60" w:rsidP="0054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D664F" w:rsidRPr="00545B60" w:rsidRDefault="00E96C93" w:rsidP="00545B60">
      <w:pPr>
        <w:pStyle w:val="a4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27149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Балахтинского районного Совета депутатов от 23.11.2018 г</w:t>
      </w:r>
      <w:r w:rsid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7149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№24-279р «Об утверждении Порядка предоставления иных межбюджетных трансфертов из бюджета Балахтинского муниципального района бюджетам поселений Балахтинского района» </w:t>
      </w:r>
      <w:r w:rsidR="004C0F39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664F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7149" w:rsidRPr="00545B60" w:rsidRDefault="00927149" w:rsidP="00545B60">
      <w:pPr>
        <w:pStyle w:val="a4"/>
        <w:numPr>
          <w:ilvl w:val="1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E363D7"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предоставления иных межбюджетных трансфертов из бюджета Балахтинского муниципального района бюджетам поселений Балахтинского района</w:t>
      </w:r>
      <w:r w:rsidRPr="0054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«Соглашение об условиях предоставления иных межбюджетных трансфертов из бюджета Балахтинского муниципального района бюджетам поселений Балахтинского района» изложить в новой редакции, согласно приложению к настоящему решению.</w:t>
      </w:r>
    </w:p>
    <w:p w:rsidR="00927149" w:rsidRPr="00545B60" w:rsidRDefault="009A3D79" w:rsidP="00545B60">
      <w:pPr>
        <w:pStyle w:val="a4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B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5B6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801556" w:rsidRPr="00545B60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363D7" w:rsidRPr="00545B60">
        <w:rPr>
          <w:rFonts w:ascii="Times New Roman" w:hAnsi="Times New Roman" w:cs="Times New Roman"/>
          <w:sz w:val="28"/>
          <w:szCs w:val="28"/>
        </w:rPr>
        <w:t>председателя</w:t>
      </w:r>
      <w:r w:rsidR="009A6F42" w:rsidRPr="00545B60">
        <w:rPr>
          <w:rFonts w:ascii="Times New Roman" w:hAnsi="Times New Roman" w:cs="Times New Roman"/>
          <w:sz w:val="28"/>
          <w:szCs w:val="28"/>
        </w:rPr>
        <w:t xml:space="preserve"> постоянной комиссии по финансово-экономической политике В.Н. Таскина и </w:t>
      </w:r>
      <w:r w:rsidR="00801556" w:rsidRPr="00545B60">
        <w:rPr>
          <w:rFonts w:ascii="Times New Roman" w:hAnsi="Times New Roman" w:cs="Times New Roman"/>
          <w:sz w:val="28"/>
          <w:szCs w:val="28"/>
        </w:rPr>
        <w:t>начальника Финансового управления администрации Балахтинского района Е.Н. Купцову.</w:t>
      </w:r>
    </w:p>
    <w:p w:rsidR="00F17E31" w:rsidRPr="00545B60" w:rsidRDefault="00F17E31" w:rsidP="00545B60">
      <w:pPr>
        <w:pStyle w:val="a4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6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01556" w:rsidRPr="00545B60">
        <w:rPr>
          <w:rFonts w:ascii="Times New Roman" w:hAnsi="Times New Roman" w:cs="Times New Roman"/>
          <w:sz w:val="28"/>
          <w:szCs w:val="28"/>
        </w:rPr>
        <w:t>со дня, следующего за днем его официального опубликования в районной газете «Сельская новь», подлежит размещению на официальном сайте Балахтинского района.</w:t>
      </w:r>
    </w:p>
    <w:p w:rsidR="00927149" w:rsidRPr="00545B60" w:rsidRDefault="00927149" w:rsidP="00545B60">
      <w:pPr>
        <w:pStyle w:val="a4"/>
        <w:spacing w:after="0" w:line="240" w:lineRule="auto"/>
        <w:ind w:left="709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1"/>
        <w:gridCol w:w="4422"/>
      </w:tblGrid>
      <w:tr w:rsidR="00E363D7" w:rsidRPr="00545B60" w:rsidTr="00E363D7">
        <w:tc>
          <w:tcPr>
            <w:tcW w:w="5041" w:type="dxa"/>
          </w:tcPr>
          <w:p w:rsidR="00545B60" w:rsidRDefault="00E363D7" w:rsidP="00545B60">
            <w:pPr>
              <w:pStyle w:val="2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B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5B60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545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63D7" w:rsidRPr="00545B60" w:rsidRDefault="00E363D7" w:rsidP="00545B60">
            <w:pPr>
              <w:pStyle w:val="2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B60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        </w:t>
            </w:r>
          </w:p>
          <w:p w:rsidR="00E363D7" w:rsidRPr="00545B60" w:rsidRDefault="00E363D7" w:rsidP="00545B60">
            <w:pPr>
              <w:pStyle w:val="2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3D7" w:rsidRPr="00545B60" w:rsidRDefault="00E363D7" w:rsidP="00545B60">
            <w:pPr>
              <w:pStyle w:val="a4"/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B60">
              <w:rPr>
                <w:rFonts w:ascii="Times New Roman" w:hAnsi="Times New Roman" w:cs="Times New Roman"/>
                <w:sz w:val="28"/>
                <w:szCs w:val="28"/>
              </w:rPr>
              <w:t>______________ Т.М. Иккес</w:t>
            </w:r>
          </w:p>
        </w:tc>
        <w:tc>
          <w:tcPr>
            <w:tcW w:w="4422" w:type="dxa"/>
          </w:tcPr>
          <w:p w:rsidR="00E363D7" w:rsidRPr="00545B60" w:rsidRDefault="00E363D7" w:rsidP="00545B60">
            <w:pPr>
              <w:pStyle w:val="2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B6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E363D7" w:rsidRPr="00545B60" w:rsidRDefault="00E363D7" w:rsidP="00545B60">
            <w:pPr>
              <w:pStyle w:val="2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B60">
              <w:rPr>
                <w:rFonts w:ascii="Times New Roman" w:hAnsi="Times New Roman" w:cs="Times New Roman"/>
                <w:sz w:val="28"/>
                <w:szCs w:val="28"/>
              </w:rPr>
              <w:t>Балахтинского района</w:t>
            </w:r>
          </w:p>
          <w:p w:rsidR="00E363D7" w:rsidRPr="00545B60" w:rsidRDefault="00E363D7" w:rsidP="00545B60">
            <w:pPr>
              <w:pStyle w:val="2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3D7" w:rsidRPr="00545B60" w:rsidRDefault="00E363D7" w:rsidP="00545B60">
            <w:pPr>
              <w:pStyle w:val="a4"/>
              <w:ind w:left="0" w:firstLine="284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B60">
              <w:rPr>
                <w:rFonts w:ascii="Times New Roman" w:hAnsi="Times New Roman" w:cs="Times New Roman"/>
                <w:sz w:val="28"/>
                <w:szCs w:val="28"/>
              </w:rPr>
              <w:t>_____________ В.А. Аниканов</w:t>
            </w:r>
          </w:p>
        </w:tc>
      </w:tr>
    </w:tbl>
    <w:p w:rsidR="00545B60" w:rsidRDefault="00545B60" w:rsidP="00545B6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545B60" w:rsidRDefault="00545B60" w:rsidP="00545B6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545B60" w:rsidRDefault="00545B60" w:rsidP="00545B6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545B60" w:rsidRDefault="00545B60" w:rsidP="00545B6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545B60" w:rsidRPr="00545B60" w:rsidRDefault="00545B60" w:rsidP="00545B6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545B60">
        <w:rPr>
          <w:spacing w:val="2"/>
        </w:rPr>
        <w:t>Приложение</w:t>
      </w:r>
    </w:p>
    <w:p w:rsidR="00545B60" w:rsidRDefault="00545B60" w:rsidP="00545B6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>
        <w:rPr>
          <w:spacing w:val="2"/>
        </w:rPr>
        <w:t xml:space="preserve">к решению Балахтинского </w:t>
      </w:r>
      <w:proofErr w:type="gramStart"/>
      <w:r>
        <w:rPr>
          <w:spacing w:val="2"/>
        </w:rPr>
        <w:t>районного</w:t>
      </w:r>
      <w:proofErr w:type="gramEnd"/>
      <w:r>
        <w:rPr>
          <w:spacing w:val="2"/>
        </w:rPr>
        <w:t xml:space="preserve"> </w:t>
      </w:r>
    </w:p>
    <w:p w:rsidR="00545B60" w:rsidRDefault="00545B60" w:rsidP="00545B6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>
        <w:rPr>
          <w:spacing w:val="2"/>
        </w:rPr>
        <w:t>Совета депутатов</w:t>
      </w:r>
    </w:p>
    <w:p w:rsidR="00545B60" w:rsidRDefault="00545B60" w:rsidP="00545B6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>
        <w:rPr>
          <w:spacing w:val="2"/>
        </w:rPr>
        <w:t xml:space="preserve">от </w:t>
      </w:r>
      <w:r w:rsidR="00E62D1A">
        <w:rPr>
          <w:spacing w:val="2"/>
        </w:rPr>
        <w:t>15.11.2023</w:t>
      </w:r>
      <w:r>
        <w:rPr>
          <w:spacing w:val="2"/>
        </w:rPr>
        <w:t xml:space="preserve"> № </w:t>
      </w:r>
      <w:r w:rsidR="00E62D1A">
        <w:rPr>
          <w:spacing w:val="2"/>
        </w:rPr>
        <w:t>25-284р</w:t>
      </w:r>
      <w:r>
        <w:rPr>
          <w:spacing w:val="2"/>
        </w:rPr>
        <w:t>.</w:t>
      </w:r>
    </w:p>
    <w:p w:rsidR="00545B60" w:rsidRDefault="00545B60" w:rsidP="00545B6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545B60" w:rsidRDefault="00545B60" w:rsidP="00545B6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545B60" w:rsidRDefault="00545B60" w:rsidP="00545B6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7C0567" w:rsidRPr="00545B60" w:rsidRDefault="00EA699F" w:rsidP="00545B6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545B60">
        <w:rPr>
          <w:spacing w:val="2"/>
        </w:rPr>
        <w:t>Приложение</w:t>
      </w:r>
      <w:r w:rsidR="00545B60" w:rsidRPr="00545B60">
        <w:rPr>
          <w:spacing w:val="2"/>
        </w:rPr>
        <w:t xml:space="preserve"> к Порядку</w:t>
      </w:r>
    </w:p>
    <w:p w:rsidR="00545B60" w:rsidRDefault="00EA699F" w:rsidP="00545B6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545B60">
        <w:rPr>
          <w:spacing w:val="2"/>
        </w:rPr>
        <w:t>предоставления иных</w:t>
      </w:r>
      <w:r w:rsidR="00545B60">
        <w:rPr>
          <w:spacing w:val="2"/>
        </w:rPr>
        <w:t xml:space="preserve"> </w:t>
      </w:r>
      <w:r w:rsidRPr="00545B60">
        <w:rPr>
          <w:spacing w:val="2"/>
        </w:rPr>
        <w:t xml:space="preserve">межбюджетных трансфертов </w:t>
      </w:r>
    </w:p>
    <w:p w:rsidR="007C0567" w:rsidRPr="00545B60" w:rsidRDefault="00EA699F" w:rsidP="00545B6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545B60">
        <w:rPr>
          <w:spacing w:val="2"/>
        </w:rPr>
        <w:t>из бюджета</w:t>
      </w:r>
      <w:r w:rsidR="00545B60">
        <w:rPr>
          <w:spacing w:val="2"/>
        </w:rPr>
        <w:t xml:space="preserve"> </w:t>
      </w:r>
      <w:r w:rsidRPr="00545B60">
        <w:rPr>
          <w:spacing w:val="2"/>
        </w:rPr>
        <w:t>Балахтинского муниципального района</w:t>
      </w:r>
    </w:p>
    <w:p w:rsidR="00EA699F" w:rsidRPr="00545B60" w:rsidRDefault="00EA699F" w:rsidP="00545B6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545B60">
        <w:rPr>
          <w:spacing w:val="2"/>
        </w:rPr>
        <w:t>бюджетам поселений Балахтинского района</w:t>
      </w:r>
    </w:p>
    <w:p w:rsidR="00271061" w:rsidRPr="00545B60" w:rsidRDefault="00271061" w:rsidP="00545B60">
      <w:pPr>
        <w:pStyle w:val="3"/>
        <w:shd w:val="clear" w:color="auto" w:fill="FFFFFF"/>
        <w:textAlignment w:val="baseline"/>
        <w:rPr>
          <w:spacing w:val="2"/>
          <w:sz w:val="24"/>
          <w:szCs w:val="24"/>
        </w:rPr>
      </w:pPr>
    </w:p>
    <w:p w:rsidR="00271061" w:rsidRPr="00545B60" w:rsidRDefault="00271061" w:rsidP="00545B60">
      <w:pPr>
        <w:pStyle w:val="3"/>
        <w:shd w:val="clear" w:color="auto" w:fill="FFFFFF"/>
        <w:textAlignment w:val="baseline"/>
        <w:rPr>
          <w:spacing w:val="2"/>
          <w:sz w:val="24"/>
          <w:szCs w:val="24"/>
        </w:rPr>
      </w:pPr>
    </w:p>
    <w:p w:rsidR="00EA699F" w:rsidRPr="00545B60" w:rsidRDefault="00EA699F" w:rsidP="00545B60">
      <w:pPr>
        <w:pStyle w:val="3"/>
        <w:shd w:val="clear" w:color="auto" w:fill="FFFFFF"/>
        <w:textAlignment w:val="baseline"/>
        <w:rPr>
          <w:bCs/>
          <w:spacing w:val="2"/>
          <w:sz w:val="24"/>
          <w:szCs w:val="24"/>
        </w:rPr>
      </w:pPr>
      <w:r w:rsidRPr="00545B60">
        <w:rPr>
          <w:spacing w:val="2"/>
          <w:sz w:val="24"/>
          <w:szCs w:val="24"/>
        </w:rPr>
        <w:t>СОГЛАШЕНИЕ</w:t>
      </w:r>
    </w:p>
    <w:p w:rsidR="00EA699F" w:rsidRPr="00545B60" w:rsidRDefault="00EA699F" w:rsidP="00545B60">
      <w:pPr>
        <w:pStyle w:val="3"/>
        <w:shd w:val="clear" w:color="auto" w:fill="FFFFFF"/>
        <w:textAlignment w:val="baseline"/>
        <w:rPr>
          <w:bCs/>
          <w:spacing w:val="2"/>
          <w:sz w:val="24"/>
          <w:szCs w:val="24"/>
        </w:rPr>
      </w:pPr>
      <w:r w:rsidRPr="00545B60">
        <w:rPr>
          <w:spacing w:val="2"/>
          <w:sz w:val="24"/>
          <w:szCs w:val="24"/>
        </w:rPr>
        <w:t>об условиях предоставления иных межбюджетных трансфертов из бюджета Балахтинского муниципального района бюджетам поселений Балахтинского района</w:t>
      </w:r>
    </w:p>
    <w:p w:rsidR="00B35F5D" w:rsidRPr="00545B60" w:rsidRDefault="00B35F5D" w:rsidP="00545B6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EA699F" w:rsidRPr="00545B60" w:rsidRDefault="00545B60" w:rsidP="00545B6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  <w:bCs/>
        </w:rPr>
        <w:t xml:space="preserve">     </w:t>
      </w:r>
      <w:r w:rsidR="00EA699F" w:rsidRPr="00545B60">
        <w:rPr>
          <w:b/>
          <w:bCs/>
        </w:rPr>
        <w:t>Администрация Балахтинского района Красноярского края,</w:t>
      </w:r>
      <w:r w:rsidR="00EA699F" w:rsidRPr="00545B60">
        <w:t xml:space="preserve"> именуемая в дальнейшем «Администрация», в лице Главы Балахтинского района ___________________________, действующего на основании Устава Балахтинского района Красноярского края, принятого сессией Балахтинского районного Совета депутатов от 30.04.1997, зарегистрированного в Управлении юстиции администрации Красноярского края 04.06.1997, Свидетельство № 23, с одной стороны, и </w:t>
      </w:r>
    </w:p>
    <w:p w:rsidR="00EA699F" w:rsidRPr="00545B60" w:rsidRDefault="00EA699F" w:rsidP="00545B60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pacing w:val="2"/>
        </w:rPr>
      </w:pPr>
      <w:proofErr w:type="gramStart"/>
      <w:r w:rsidRPr="00545B60">
        <w:rPr>
          <w:b/>
          <w:bCs/>
        </w:rPr>
        <w:t>А</w:t>
      </w:r>
      <w:r w:rsidRPr="00545B60">
        <w:rPr>
          <w:b/>
          <w:bCs/>
          <w:spacing w:val="2"/>
        </w:rPr>
        <w:t xml:space="preserve">дминистрация </w:t>
      </w:r>
      <w:r w:rsidR="009A6F42" w:rsidRPr="00545B60">
        <w:rPr>
          <w:b/>
          <w:bCs/>
          <w:spacing w:val="2"/>
        </w:rPr>
        <w:t>________</w:t>
      </w:r>
      <w:r w:rsidR="007C0567" w:rsidRPr="00545B60">
        <w:rPr>
          <w:b/>
          <w:bCs/>
          <w:spacing w:val="2"/>
        </w:rPr>
        <w:t>____________</w:t>
      </w:r>
      <w:r w:rsidR="009A6F42" w:rsidRPr="00545B60">
        <w:rPr>
          <w:b/>
          <w:bCs/>
          <w:spacing w:val="2"/>
        </w:rPr>
        <w:t xml:space="preserve">__ сельсовета (поселения) </w:t>
      </w:r>
      <w:r w:rsidRPr="00545B60">
        <w:rPr>
          <w:b/>
          <w:bCs/>
          <w:spacing w:val="2"/>
        </w:rPr>
        <w:t xml:space="preserve">в лице Главы </w:t>
      </w:r>
      <w:r w:rsidR="007C0567" w:rsidRPr="00545B60">
        <w:rPr>
          <w:b/>
          <w:bCs/>
          <w:spacing w:val="2"/>
        </w:rPr>
        <w:t>________</w:t>
      </w:r>
      <w:r w:rsidRPr="00545B60">
        <w:rPr>
          <w:b/>
          <w:bCs/>
          <w:spacing w:val="2"/>
        </w:rPr>
        <w:t>______ (</w:t>
      </w:r>
      <w:r w:rsidR="00E363D7" w:rsidRPr="00545B60">
        <w:rPr>
          <w:b/>
          <w:bCs/>
          <w:spacing w:val="2"/>
        </w:rPr>
        <w:t>городского, сельского поселения</w:t>
      </w:r>
      <w:r w:rsidRPr="00545B60">
        <w:rPr>
          <w:b/>
          <w:bCs/>
          <w:spacing w:val="2"/>
        </w:rPr>
        <w:t>) администрации</w:t>
      </w:r>
      <w:r w:rsidRPr="00545B60">
        <w:rPr>
          <w:spacing w:val="2"/>
        </w:rPr>
        <w:t xml:space="preserve"> - _____________, действующего на основании _____</w:t>
      </w:r>
      <w:r w:rsidR="007C0567" w:rsidRPr="00545B60">
        <w:rPr>
          <w:spacing w:val="2"/>
        </w:rPr>
        <w:t>____</w:t>
      </w:r>
      <w:r w:rsidRPr="00545B60">
        <w:rPr>
          <w:spacing w:val="2"/>
        </w:rPr>
        <w:t>____, принятого _________, в дальнейшем именуемые «Стороны», заключили настоящее Соглашение о нижеследующем</w:t>
      </w:r>
      <w:r w:rsidR="009A6F42" w:rsidRPr="00545B60">
        <w:rPr>
          <w:spacing w:val="2"/>
        </w:rPr>
        <w:t>:</w:t>
      </w:r>
      <w:proofErr w:type="gramEnd"/>
    </w:p>
    <w:p w:rsidR="00271061" w:rsidRPr="00545B60" w:rsidRDefault="00271061" w:rsidP="00545B60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EA699F" w:rsidRPr="00545B60" w:rsidRDefault="00EA699F" w:rsidP="00545B60">
      <w:pPr>
        <w:pStyle w:val="formattext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/>
          <w:spacing w:val="2"/>
        </w:rPr>
      </w:pPr>
      <w:r w:rsidRPr="00545B60">
        <w:rPr>
          <w:b/>
          <w:spacing w:val="2"/>
        </w:rPr>
        <w:t>Предмет Соглашения</w:t>
      </w:r>
    </w:p>
    <w:p w:rsidR="00271061" w:rsidRPr="00545B60" w:rsidRDefault="00271061" w:rsidP="00545B60">
      <w:pPr>
        <w:pStyle w:val="formattext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spacing w:val="2"/>
          <w:sz w:val="10"/>
          <w:szCs w:val="10"/>
        </w:rPr>
      </w:pPr>
    </w:p>
    <w:p w:rsidR="009A6F42" w:rsidRPr="00545B60" w:rsidRDefault="009A6F42" w:rsidP="00545B60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Соглашения является предоставление в 20___ году из бюджета Балахтинского муниципального района иного межбюджетного трансферта _____________</w:t>
      </w:r>
      <w:r w:rsidR="007C0567" w:rsidRPr="00545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545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(далее – иной межбюджетный трансферт).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B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1.2. Иной межбюджетный трансферт направляется Администрацией поселения </w:t>
      </w:r>
      <w:proofErr w:type="gramStart"/>
      <w:r w:rsidRPr="00545B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</w:t>
      </w:r>
      <w:proofErr w:type="gramEnd"/>
      <w:r w:rsidRPr="00545B6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r w:rsidR="007C0567" w:rsidRPr="00545B60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545B60">
        <w:rPr>
          <w:rFonts w:ascii="Times New Roman" w:eastAsia="Times New Roman" w:hAnsi="Times New Roman" w:cs="Times New Roman"/>
          <w:sz w:val="24"/>
          <w:szCs w:val="24"/>
        </w:rPr>
        <w:t>______.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1.3. Иной межбюджетный трансферт носит целевой характер и не может быть использован на иные цели, кроме </w:t>
      </w:r>
      <w:proofErr w:type="gramStart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указанных</w:t>
      </w:r>
      <w:proofErr w:type="gramEnd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пункте 1.2 настоящего Соглашения.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1.4. Иной межбюджетный трансферт</w:t>
      </w:r>
      <w:r w:rsidRPr="00545B60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</w:t>
      </w:r>
      <w:r w:rsidRPr="00545B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 счет _________________________</w:t>
      </w:r>
      <w:r w:rsidR="007C0567" w:rsidRPr="00545B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</w:t>
      </w:r>
      <w:r w:rsidRPr="00545B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 в рамках средств, предусмотренных на эти цели решением Балахтинского районного Совета депутатов о бюджете на соответствующий финансовый год и плановый период.</w:t>
      </w:r>
    </w:p>
    <w:p w:rsidR="00271061" w:rsidRPr="00545B60" w:rsidRDefault="00271061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99F" w:rsidRPr="00545B60" w:rsidRDefault="009A6F42" w:rsidP="00545B60">
      <w:pPr>
        <w:pStyle w:val="formattext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/>
          <w:spacing w:val="2"/>
        </w:rPr>
      </w:pPr>
      <w:r w:rsidRPr="00545B60">
        <w:rPr>
          <w:b/>
          <w:spacing w:val="2"/>
        </w:rPr>
        <w:t>Финансовое обеспечение предоставления иного межбюджетного трансферта</w:t>
      </w:r>
    </w:p>
    <w:p w:rsidR="00271061" w:rsidRPr="00545B60" w:rsidRDefault="00271061" w:rsidP="00545B6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10"/>
          <w:szCs w:val="10"/>
        </w:rPr>
      </w:pP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2.1. Размер иного межбюджетного трансферта, предоставляемого из бюджета Балахтинского муниципального района бюджету ______</w:t>
      </w:r>
      <w:r w:rsidR="00271061"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 </w:t>
      </w: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поселения Балахтинского муниципального района в соответствии с настоящим Соглашением в 20___ году, составляет ____</w:t>
      </w:r>
      <w:r w:rsidR="007C0567"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</w:t>
      </w: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 (сумма прописью) рублей ____ копеек.</w:t>
      </w:r>
    </w:p>
    <w:p w:rsidR="009A6F42" w:rsidRPr="00545B60" w:rsidRDefault="009A6F42" w:rsidP="00545B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5B60">
        <w:rPr>
          <w:rFonts w:ascii="Times New Roman" w:hAnsi="Times New Roman" w:cs="Times New Roman"/>
          <w:sz w:val="24"/>
          <w:szCs w:val="24"/>
        </w:rPr>
        <w:t>2.2. Размер собственных средств, предусматриваемых в бюджете ________ поселения Балахтинского муниципального района на финансирование мероприятий, указанных в пункте 1.2 настоящего Соглашения в 20___ году, составляет _____</w:t>
      </w:r>
      <w:r w:rsidR="007C0567" w:rsidRPr="00545B60">
        <w:rPr>
          <w:rFonts w:ascii="Times New Roman" w:hAnsi="Times New Roman" w:cs="Times New Roman"/>
          <w:sz w:val="24"/>
          <w:szCs w:val="24"/>
        </w:rPr>
        <w:t>__________</w:t>
      </w:r>
      <w:r w:rsidRPr="00545B60">
        <w:rPr>
          <w:rFonts w:ascii="Times New Roman" w:hAnsi="Times New Roman" w:cs="Times New Roman"/>
          <w:sz w:val="24"/>
          <w:szCs w:val="24"/>
        </w:rPr>
        <w:t>_______ (сумма прописью) рублей ____ копеек.</w:t>
      </w:r>
    </w:p>
    <w:p w:rsidR="00271061" w:rsidRPr="00545B60" w:rsidRDefault="00271061" w:rsidP="00545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F42" w:rsidRPr="00545B60" w:rsidRDefault="009A6F42" w:rsidP="00545B60">
      <w:pPr>
        <w:pStyle w:val="formattext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pacing w:val="2"/>
        </w:rPr>
      </w:pPr>
      <w:r w:rsidRPr="00545B60">
        <w:rPr>
          <w:b/>
          <w:spacing w:val="2"/>
        </w:rPr>
        <w:lastRenderedPageBreak/>
        <w:t>Порядок, условия предоставления и сроки перечисления иного межбюджетного трансферта</w:t>
      </w:r>
    </w:p>
    <w:p w:rsidR="00271061" w:rsidRPr="00545B60" w:rsidRDefault="00271061" w:rsidP="00545B60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b/>
          <w:spacing w:val="2"/>
        </w:rPr>
      </w:pP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3.1. Иной межбюджетный трансферт предоставляется в пределах бюджетных ассигнований, предусмотренных в сводной бюджетной росписи на соответствующий финансовый год.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3.2. Иной межбюджетный трансферт предоставляется при выполнении следующих условий:</w:t>
      </w:r>
    </w:p>
    <w:p w:rsidR="009A6F42" w:rsidRPr="00545B60" w:rsidRDefault="009A6F42" w:rsidP="00545B60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B60">
        <w:rPr>
          <w:rFonts w:ascii="Times New Roman" w:hAnsi="Times New Roman" w:cs="Times New Roman"/>
          <w:bCs/>
          <w:sz w:val="24"/>
          <w:szCs w:val="24"/>
        </w:rPr>
        <w:t>3.2.1. обязательство поселения по достижению значений результатов использования иного межбюджетного трансферта;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hAnsi="Times New Roman" w:cs="Times New Roman"/>
          <w:sz w:val="24"/>
          <w:szCs w:val="24"/>
        </w:rPr>
        <w:t>3.2.2. обязательство поселения по представлению отчетов о достижении значений результатов использования иного межбюджетного трансферта, о расходовании иного межбюджетного трансферта</w:t>
      </w: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A6F42" w:rsidRPr="00545B60" w:rsidRDefault="009A6F42" w:rsidP="00545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3.2. Иной межбюджетный трансферт перечисляется в бюджет поселения не позднее последнего рабочего дня текущего финансового года.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3.3. Перечисление иного межбюджетного трансферта осуществляется в установленном для исполнения местного бюджета порядке с отражением их в доходной части бюджета поселения, получающего межбюджетный трансферт, по соответствующему коду бюджетной классификации доходов.</w:t>
      </w:r>
    </w:p>
    <w:p w:rsidR="00271061" w:rsidRPr="00545B60" w:rsidRDefault="00271061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699F" w:rsidRPr="00545B60" w:rsidRDefault="009A6F42" w:rsidP="00545B60">
      <w:pPr>
        <w:pStyle w:val="formattext"/>
        <w:numPr>
          <w:ilvl w:val="0"/>
          <w:numId w:val="26"/>
        </w:numPr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pacing w:val="2"/>
        </w:rPr>
      </w:pPr>
      <w:r w:rsidRPr="00545B60">
        <w:rPr>
          <w:b/>
          <w:spacing w:val="2"/>
        </w:rPr>
        <w:t>Взаимоотношения Сторон</w:t>
      </w:r>
    </w:p>
    <w:p w:rsidR="00271061" w:rsidRPr="00545B60" w:rsidRDefault="00271061" w:rsidP="00545B60">
      <w:pPr>
        <w:pStyle w:val="formattext"/>
        <w:shd w:val="clear" w:color="auto" w:fill="FFFFFF"/>
        <w:spacing w:before="0" w:beforeAutospacing="0" w:after="0" w:afterAutospacing="0"/>
        <w:ind w:left="720"/>
        <w:textAlignment w:val="baseline"/>
        <w:rPr>
          <w:b/>
          <w:spacing w:val="2"/>
          <w:sz w:val="10"/>
          <w:szCs w:val="10"/>
        </w:rPr>
      </w:pPr>
    </w:p>
    <w:p w:rsidR="009A6F42" w:rsidRPr="00545B60" w:rsidRDefault="009A6F42" w:rsidP="00545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 </w:t>
      </w:r>
      <w:r w:rsidR="007C0567"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Финансовое управление администрации Балахтинского</w:t>
      </w: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обязуется:</w:t>
      </w:r>
    </w:p>
    <w:p w:rsidR="009A6F42" w:rsidRPr="00545B60" w:rsidRDefault="009A6F42" w:rsidP="00545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4.1.1. Обеспечить предоставление иного межбюджетного трансферта бюджету ________________________ поселения Балахтинского муниципального района в порядке и при соблюдении Администрацией поселения условий предоставления иных межбюджетных трансфертов, установленных настоящим Соглашением, в пределах лимитов бюджетных обязательств на текущий финансовый год.</w:t>
      </w:r>
    </w:p>
    <w:p w:rsidR="009A6F42" w:rsidRPr="00545B60" w:rsidRDefault="009A6F42" w:rsidP="00545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4.1.2. Устанавливать значения результатов использования иного межбюджетного трансферта по форме, согласно приложению </w:t>
      </w:r>
      <w:r w:rsidR="007C0567"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1 к настоящему Соглашению;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4.1.3. Осуществлять </w:t>
      </w:r>
      <w:proofErr w:type="gramStart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Администрацией поселения условий предоставления иного межбюджетного трансферта и других обязательств, предусмотренных настоящим Соглашением, в следующем порядке: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4.1.3.1. осуществление проверок документов, подтверждающих произведенные расходы бюджета ________________________ поселения Балахтинского муниципального района;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4.1.3.2. инициирования бюджетных мер принуждения, предусмотренных бюджетным </w:t>
      </w:r>
      <w:hyperlink r:id="rId9" w:history="1">
        <w:r w:rsidRPr="00545B6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законодательством</w:t>
        </w:r>
      </w:hyperlink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Российской Федерации, в случаях установления факта нецелевого использования иного межбюджетного трансферта либо его части и (или) нарушения Администрацией поселения порядка и условий его предоставления, в том числе не возврата (несвоевременного возврата) Администрацией поселения сре</w:t>
      </w:r>
      <w:proofErr w:type="gramStart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дств в б</w:t>
      </w:r>
      <w:proofErr w:type="gramEnd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юджет из которого он был предоставлен.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4.1.4. В случае нарушения Администрацией поселения целей, условий и порядка предоставления иного межбюджетного трансферта, уведомить Администрацию поселения о выявленных фактах нарушения и о необходимости возврата полученной суммы иного межбюджетного трансферта либо ее части в доход </w:t>
      </w:r>
      <w:proofErr w:type="gramStart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бюджета</w:t>
      </w:r>
      <w:proofErr w:type="gramEnd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 которого он был предоставлен в соответствии с требованиями, установленными Бюджетным кодексом Российской Федерации, в течение 10 рабочих дней со дня установления факта нарушения.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4.1.5. В случае приостановления предоставления иного межбюджетного трансферта информировать Администрацию поселения о причинах такого приостановления.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4.1.6. Выполнять иные обязательства, установленные бюджетным законодательством Российской Федерации, порядком предоставления иного межбюджетного трансферта и настоящим Соглашением.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4.2. Администрация района вправе: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4.2.1. Запрашивать у Администрации поселения документы и материалы, необходимые </w:t>
      </w: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для осуществления </w:t>
      </w:r>
      <w:proofErr w:type="gramStart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соблюдением Администрацией поселения условий предоставления иного межбюджетного трансферта и других обязательств, предусмотренных настоящим Соглашением, в том числе данные бухгалтерского учета и первичную документацию, связанные с исполнением Администрацией поселения условий предоставления иных межбюджетных трансфертов.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4.2.2. Осуществлять иные права, предусмотренные бюджетным законодательством Российской Федерации, порядком предоставления иного межбюджетного трансферта и настоящим Соглашением.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4.3. Администрация поселения обязуется: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4.3.1. Обеспечивать выполнение условий предоставления иного межбюджетного трансферта, установленных пунктом 3.2.1 – 3.2.2 настоящего Соглашения.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4.3.2. </w:t>
      </w:r>
      <w:proofErr w:type="gramStart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Достичь результат</w:t>
      </w:r>
      <w:proofErr w:type="gramEnd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использования иного межбюджетного трансферта, установленного Администрацией района, согласно приложению </w:t>
      </w:r>
      <w:r w:rsidR="007C0567"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1 к настоящему Соглашению.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4.3.3. Обеспечивать исполнение требований Администрации района по возврату сре</w:t>
      </w:r>
      <w:proofErr w:type="gramStart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дств в б</w:t>
      </w:r>
      <w:proofErr w:type="gramEnd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юджет, из которого они были предоставлены.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4.3.4. Обеспечивать представление в Администрацию района следующей отчетности в электронном виде и на бумажном носителе: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4.3.4.1. отчет о достижении значений результатов использования иного межбюджетного трансферта - не позднее 20 января года, следующего за годом, в котором предоставлялся иной межбюджетный трансферт, по форме, согласно приложению </w:t>
      </w:r>
      <w:r w:rsidR="007C0567"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2 к настоящему Соглашению;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4.3.4.2. отчет о расходовании иного межбюджетного трансферта - не позднее 20 января года, следующего за годом, в котором предоставлялся иной межбюджетный трансферт, по форме, согласно приложению </w:t>
      </w:r>
      <w:r w:rsidR="007C0567"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3 к настоящему Соглашению.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4.3.5. В случае получения соответствующего запроса обеспечивать представление в Администрацию района документов и материалов, необходимых для осуществления </w:t>
      </w:r>
      <w:proofErr w:type="gramStart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соблюдением Администрацией поселения условий предоставления иного межбюджетного трансферта и других обязательств, предусмотренных настоящим Соглашением, в том числе данных бухгалтерского учета и первичной документации, связанных с использованием средств иного межбюджетного трансферта.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4.3.6. Возвратить в бюджет из которого был предоставлен межбюджетный </w:t>
      </w:r>
      <w:proofErr w:type="gramStart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трансферт</w:t>
      </w:r>
      <w:proofErr w:type="gramEnd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использованный по состоянию  на 01 января финансового года, следующего за отчетным, остаток средств иного межбюджетного трансферта в соответствии с требованиями, установленными Бюджетным </w:t>
      </w:r>
      <w:hyperlink r:id="rId10" w:history="1">
        <w:r w:rsidRPr="00545B6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кодексом</w:t>
        </w:r>
      </w:hyperlink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Российской Федерации.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4.3.7. Возвратить в </w:t>
      </w:r>
      <w:proofErr w:type="gramStart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бюджет</w:t>
      </w:r>
      <w:proofErr w:type="gramEnd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 которого был предоставлен иной межбюджетный трансферт всю сумму или ее часть, использованную на иные цели, кроме указанных в пункте 1.2 настоящего Соглашения, в соответствии с требованиями, установленными Бюджетным </w:t>
      </w:r>
      <w:hyperlink r:id="rId11" w:history="1">
        <w:r w:rsidRPr="00545B6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кодексом</w:t>
        </w:r>
      </w:hyperlink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Российской Федерации.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4.3.8. Выполнять иные обязательства, установленные бюджетным законодательством Российской Федерации, порядком предоставления иного межбюджетного трансферта и настоящим Соглашением.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4.4. Администрация поселения вправе: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4.4.1. Обращаться в Администрацию района за разъяснениями в связи с исполнением настоящего Соглашения.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4.4.2. Осуществлять иные права, установленные бюджетным законодательством Российской Федерации, порядком предоставления иного межбюджетного трансферта и настоящим Соглашением.</w:t>
      </w:r>
    </w:p>
    <w:p w:rsidR="00271061" w:rsidRPr="00545B60" w:rsidRDefault="00271061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9A6F42" w:rsidRPr="00545B60" w:rsidRDefault="009A6F42" w:rsidP="00545B60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Сторон</w:t>
      </w:r>
    </w:p>
    <w:p w:rsidR="00271061" w:rsidRPr="00545B60" w:rsidRDefault="00271061" w:rsidP="00545B60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9A6F42" w:rsidRPr="00545B60" w:rsidRDefault="009A6F42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5.2. Ответственность за достоверность представляемых в Администрацию района </w:t>
      </w: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сведений возлагается на Администрацию поселения.</w:t>
      </w:r>
    </w:p>
    <w:p w:rsidR="00271061" w:rsidRPr="00545B60" w:rsidRDefault="00271061" w:rsidP="00545B60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6F42" w:rsidRPr="00545B60" w:rsidRDefault="009A6F42" w:rsidP="00545B60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Иные условия</w:t>
      </w:r>
    </w:p>
    <w:p w:rsidR="00271061" w:rsidRPr="00545B60" w:rsidRDefault="00271061" w:rsidP="00545B60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9A6F42" w:rsidRPr="00545B60" w:rsidRDefault="009A6F42" w:rsidP="00545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 Иные условия по настоящему Соглашению: </w:t>
      </w:r>
    </w:p>
    <w:p w:rsidR="009A6F42" w:rsidRPr="00545B60" w:rsidRDefault="009A6F42" w:rsidP="00545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6.1.1. </w:t>
      </w:r>
      <w:proofErr w:type="gramStart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соблюдением Администрацией поселения условий предоставления и расходования иного межбюджетного трансферта осуществляется Администрацией района и уполномоченными органами муниципального контроля.</w:t>
      </w:r>
    </w:p>
    <w:p w:rsidR="009A6F42" w:rsidRPr="00545B60" w:rsidRDefault="009A6F42" w:rsidP="00545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6.1.2. В случае если подлежащий возврату остаток иного межбюджетного трансферта, в том числе использованный не по целевому назначению, не перечислен в доход </w:t>
      </w:r>
      <w:r w:rsidR="00271061"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бюджета,</w:t>
      </w: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 которого он был предоставлены, указанные средства подлежат взысканию в доход бюджета </w:t>
      </w:r>
      <w:r w:rsidR="00271061"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Балахтинского</w:t>
      </w: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в порядке, установленном законодательством Российской Федерации.</w:t>
      </w:r>
    </w:p>
    <w:p w:rsidR="009A6F42" w:rsidRPr="00545B60" w:rsidRDefault="009A6F42" w:rsidP="00545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6.1.3. Несоблюдение Администрацией поселения условий предоставления иного межбюджетного трансферта влечет применение бюджетных мер принуждения в случаях, предусмотренных бюджетным законодательством Российской Федерации.</w:t>
      </w:r>
    </w:p>
    <w:p w:rsidR="009A6F42" w:rsidRPr="00545B60" w:rsidRDefault="009A6F42" w:rsidP="00545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6.1.4. По вопросам взаимоотношений, прямо не урегулированных настоящим Соглашением, Стороны руководствуются действующим законодательством Российской Федерации </w:t>
      </w:r>
      <w:r w:rsidR="00271061"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и порядком</w:t>
      </w: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предоставления иных межбюджетных трансфертов.</w:t>
      </w:r>
    </w:p>
    <w:p w:rsidR="009A6F42" w:rsidRPr="00545B60" w:rsidRDefault="009A6F42" w:rsidP="00545B6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A6F42" w:rsidRPr="00545B60" w:rsidRDefault="009A6F42" w:rsidP="00545B60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271061" w:rsidRPr="00545B60" w:rsidRDefault="00271061" w:rsidP="00545B60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9A6F42" w:rsidRPr="00545B60" w:rsidRDefault="009A6F42" w:rsidP="00545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sub_500"/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7.1. Споры (разногласия), возникающие между Сторонами в связи с исполнением настоящего Соглашения, разрешаются ими, по возможности, путем проведения переговоров, в том числе с оформлением соответствующих протоколов, или иных документов, подписываемых уполномоченными представителями Сторон. При </w:t>
      </w:r>
      <w:r w:rsidR="00271061"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недостижении</w:t>
      </w: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согласия споры между Сторонами решаются в установленном законодательством Российской Федерации порядке.</w:t>
      </w:r>
      <w:bookmarkEnd w:id="0"/>
    </w:p>
    <w:p w:rsidR="009A6F42" w:rsidRPr="00545B60" w:rsidRDefault="009A6F42" w:rsidP="00545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7.2. Настоящее Соглашение вступает в силу после его подписания сторонами и действует до 31 декабря 20___ года. </w:t>
      </w:r>
    </w:p>
    <w:p w:rsidR="009A6F42" w:rsidRPr="00545B60" w:rsidRDefault="009A6F42" w:rsidP="00545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7.3. Приложения к настоящему Соглашению являются его неотъемлемой частью.</w:t>
      </w:r>
    </w:p>
    <w:p w:rsidR="009A6F42" w:rsidRPr="00545B60" w:rsidRDefault="009A6F42" w:rsidP="00545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7.4. Изменени</w:t>
      </w:r>
      <w:r w:rsidR="007C0567"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</w:r>
    </w:p>
    <w:p w:rsidR="009A6F42" w:rsidRPr="00545B60" w:rsidRDefault="009A6F42" w:rsidP="00545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7.5. Расторжение настоящего Соглашения возможно при взаимном согласии Сторон.</w:t>
      </w:r>
    </w:p>
    <w:p w:rsidR="009A6F42" w:rsidRPr="00545B60" w:rsidRDefault="009A6F42" w:rsidP="00545B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zh-CN"/>
        </w:rPr>
        <w:t>7.6. Настоящее Соглашение составлено в двух экземплярах, имеющих равную юридическую силу, по одному для каждой из Сторон.</w:t>
      </w:r>
    </w:p>
    <w:p w:rsidR="009A6F42" w:rsidRPr="00545B60" w:rsidRDefault="009A6F42" w:rsidP="0054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6F42" w:rsidRDefault="009A6F42" w:rsidP="00545B60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Реквизиты Сторон</w:t>
      </w:r>
    </w:p>
    <w:p w:rsidR="00545B60" w:rsidRPr="00545B60" w:rsidRDefault="00545B60" w:rsidP="00545B60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c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:rsidR="009A6F42" w:rsidRPr="00545B60" w:rsidTr="00271061">
        <w:tc>
          <w:tcPr>
            <w:tcW w:w="4536" w:type="dxa"/>
            <w:vAlign w:val="center"/>
          </w:tcPr>
          <w:p w:rsidR="009A6F42" w:rsidRPr="00545B60" w:rsidRDefault="009A6F42" w:rsidP="00545B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4820" w:type="dxa"/>
            <w:vAlign w:val="center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9A6F42" w:rsidRPr="00545B60" w:rsidTr="00271061">
        <w:tc>
          <w:tcPr>
            <w:tcW w:w="4536" w:type="dxa"/>
          </w:tcPr>
          <w:p w:rsidR="009A6F42" w:rsidRPr="00545B60" w:rsidRDefault="009A6F42" w:rsidP="00545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</w:t>
            </w:r>
            <w:r w:rsidR="00271061"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20" w:type="dxa"/>
          </w:tcPr>
          <w:p w:rsidR="009A6F42" w:rsidRPr="00545B60" w:rsidRDefault="009A6F42" w:rsidP="00545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юридического лица </w:t>
            </w:r>
          </w:p>
        </w:tc>
      </w:tr>
      <w:tr w:rsidR="009A6F42" w:rsidRPr="00545B60" w:rsidTr="00271061">
        <w:tc>
          <w:tcPr>
            <w:tcW w:w="4536" w:type="dxa"/>
          </w:tcPr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4820" w:type="dxa"/>
          </w:tcPr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</w:tr>
      <w:tr w:rsidR="009A6F42" w:rsidRPr="00545B60" w:rsidTr="00271061">
        <w:tc>
          <w:tcPr>
            <w:tcW w:w="4536" w:type="dxa"/>
          </w:tcPr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 получателя: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банковского счета: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казначейского счета: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 получателя: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банковского счета: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казначейского счета: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ОКТМО:</w:t>
            </w:r>
          </w:p>
          <w:p w:rsidR="009A6F42" w:rsidRPr="00545B60" w:rsidRDefault="009A6F42" w:rsidP="00545B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доходов:</w:t>
            </w:r>
          </w:p>
        </w:tc>
      </w:tr>
    </w:tbl>
    <w:p w:rsidR="009A6F42" w:rsidRPr="00545B60" w:rsidRDefault="009A6F42" w:rsidP="00545B60">
      <w:pPr>
        <w:widowControl w:val="0"/>
        <w:shd w:val="clear" w:color="auto" w:fill="FFFFFF"/>
        <w:tabs>
          <w:tab w:val="left" w:pos="142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6F42" w:rsidRPr="00545B60" w:rsidRDefault="009A6F42" w:rsidP="00545B60">
      <w:pPr>
        <w:pStyle w:val="a4"/>
        <w:widowControl w:val="0"/>
        <w:numPr>
          <w:ilvl w:val="0"/>
          <w:numId w:val="26"/>
        </w:numPr>
        <w:shd w:val="clear" w:color="auto" w:fill="FFFFFF"/>
        <w:tabs>
          <w:tab w:val="left" w:pos="142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Подписи Сторон</w:t>
      </w:r>
    </w:p>
    <w:p w:rsidR="00545B60" w:rsidRPr="00545B60" w:rsidRDefault="00545B60" w:rsidP="00545B60">
      <w:pPr>
        <w:pStyle w:val="a4"/>
        <w:widowControl w:val="0"/>
        <w:shd w:val="clear" w:color="auto" w:fill="FFFFFF"/>
        <w:tabs>
          <w:tab w:val="left" w:pos="142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1"/>
        <w:gridCol w:w="4795"/>
      </w:tblGrid>
      <w:tr w:rsidR="009A6F42" w:rsidRPr="00545B60" w:rsidTr="00271061">
        <w:tc>
          <w:tcPr>
            <w:tcW w:w="4561" w:type="dxa"/>
          </w:tcPr>
          <w:p w:rsidR="009A6F42" w:rsidRPr="00545B60" w:rsidRDefault="009A6F42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4795" w:type="dxa"/>
          </w:tcPr>
          <w:p w:rsidR="009A6F42" w:rsidRPr="00545B60" w:rsidRDefault="009A6F42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9A6F42" w:rsidRPr="00545B60" w:rsidTr="00271061">
        <w:tc>
          <w:tcPr>
            <w:tcW w:w="4561" w:type="dxa"/>
          </w:tcPr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A6F42" w:rsidRPr="00545B60" w:rsidRDefault="009A6F42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271061" w:rsidRPr="00545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Балахтинского</w:t>
            </w:r>
          </w:p>
          <w:p w:rsidR="009A6F42" w:rsidRPr="00545B60" w:rsidRDefault="009A6F42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  <w:p w:rsidR="009A6F42" w:rsidRPr="00545B60" w:rsidRDefault="009A6F42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A6F42" w:rsidRPr="00545B60" w:rsidRDefault="009A6F42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______________/______________/</w:t>
            </w: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</w:tcPr>
          <w:p w:rsidR="009A6F42" w:rsidRPr="00545B60" w:rsidRDefault="009A6F42" w:rsidP="00545B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F42" w:rsidRPr="00545B60" w:rsidRDefault="009A6F42" w:rsidP="00545B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_________ поселения </w:t>
            </w:r>
            <w:r w:rsidR="00271061" w:rsidRPr="00545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Балахтинского</w:t>
            </w:r>
            <w:r w:rsidRPr="00545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9A6F42" w:rsidRPr="00545B60" w:rsidRDefault="009A6F42" w:rsidP="00545B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B60" w:rsidRDefault="00545B60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F42" w:rsidRPr="00545B60" w:rsidRDefault="009A6F42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______________/______________/</w:t>
            </w: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1061" w:rsidRPr="00545B60" w:rsidRDefault="00271061" w:rsidP="00545B60">
      <w:pPr>
        <w:pStyle w:val="formattext"/>
        <w:shd w:val="clear" w:color="auto" w:fill="FFFFFF"/>
        <w:spacing w:before="0" w:beforeAutospacing="0" w:after="0" w:afterAutospacing="0"/>
        <w:textAlignment w:val="baseline"/>
        <w:sectPr w:rsidR="00271061" w:rsidRPr="00545B60" w:rsidSect="00545B60">
          <w:endnotePr>
            <w:numFmt w:val="decimal"/>
            <w:numRestart w:val="eachSect"/>
          </w:endnotePr>
          <w:pgSz w:w="11906" w:h="16838"/>
          <w:pgMar w:top="709" w:right="849" w:bottom="1134" w:left="1418" w:header="708" w:footer="708" w:gutter="0"/>
          <w:cols w:space="708"/>
          <w:docGrid w:linePitch="360"/>
        </w:sectPr>
      </w:pPr>
    </w:p>
    <w:p w:rsidR="00B35F5D" w:rsidRPr="00545B60" w:rsidRDefault="00271061" w:rsidP="00545B60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5B60">
        <w:rPr>
          <w:rFonts w:ascii="Times New Roman" w:hAnsi="Times New Roman" w:cs="Times New Roman"/>
          <w:spacing w:val="-2"/>
          <w:sz w:val="24"/>
          <w:szCs w:val="24"/>
        </w:rPr>
        <w:lastRenderedPageBreak/>
        <w:t>П</w:t>
      </w:r>
      <w:r w:rsidR="00B35F5D" w:rsidRPr="00545B60">
        <w:rPr>
          <w:rFonts w:ascii="Times New Roman" w:hAnsi="Times New Roman" w:cs="Times New Roman"/>
          <w:spacing w:val="-2"/>
          <w:sz w:val="24"/>
          <w:szCs w:val="24"/>
        </w:rPr>
        <w:t>риложение № 1</w:t>
      </w:r>
    </w:p>
    <w:p w:rsidR="00B35F5D" w:rsidRPr="00545B60" w:rsidRDefault="00B35F5D" w:rsidP="00545B60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45B60">
        <w:rPr>
          <w:rFonts w:ascii="Times New Roman" w:hAnsi="Times New Roman" w:cs="Times New Roman"/>
          <w:sz w:val="24"/>
          <w:szCs w:val="24"/>
        </w:rPr>
        <w:t>к Соглашению об условиях предоставления иных межбюджетных трансфертов из бюджета Балахтинского муниципального района бюджетам поселений Балахтинского района</w:t>
      </w:r>
    </w:p>
    <w:p w:rsidR="00271061" w:rsidRPr="00545B60" w:rsidRDefault="00271061" w:rsidP="00545B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F42" w:rsidRPr="00545B60" w:rsidRDefault="009A6F42" w:rsidP="0054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Значения результатов </w:t>
      </w:r>
    </w:p>
    <w:p w:rsidR="009A6F42" w:rsidRPr="00545B60" w:rsidRDefault="009A6F42" w:rsidP="0054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использования иного межбюджетного трансферта</w:t>
      </w:r>
    </w:p>
    <w:p w:rsidR="009A6F42" w:rsidRPr="00545B60" w:rsidRDefault="009A6F42" w:rsidP="0054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9600" w:type="dxa"/>
        <w:tblInd w:w="6" w:type="dxa"/>
        <w:tblLook w:val="04A0"/>
      </w:tblPr>
      <w:tblGrid>
        <w:gridCol w:w="560"/>
        <w:gridCol w:w="4134"/>
        <w:gridCol w:w="2108"/>
        <w:gridCol w:w="2798"/>
      </w:tblGrid>
      <w:tr w:rsidR="009A6F42" w:rsidRPr="00545B60" w:rsidTr="007C0567">
        <w:tc>
          <w:tcPr>
            <w:tcW w:w="528" w:type="dxa"/>
            <w:vAlign w:val="center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51" w:type="dxa"/>
            <w:vAlign w:val="center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13" w:type="dxa"/>
            <w:vAlign w:val="center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8" w:type="dxa"/>
            <w:vAlign w:val="center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 по состоянию на 01.01.20_ года</w:t>
            </w:r>
          </w:p>
        </w:tc>
      </w:tr>
      <w:tr w:rsidR="009A6F42" w:rsidRPr="00545B60" w:rsidTr="007C0567">
        <w:tc>
          <w:tcPr>
            <w:tcW w:w="528" w:type="dxa"/>
            <w:vAlign w:val="center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center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Align w:val="center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Align w:val="center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1061" w:rsidRPr="00545B60" w:rsidTr="007C0567">
        <w:tc>
          <w:tcPr>
            <w:tcW w:w="528" w:type="dxa"/>
            <w:vAlign w:val="center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center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Align w:val="center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Align w:val="center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1061" w:rsidRPr="00545B60" w:rsidTr="007C0567">
        <w:tc>
          <w:tcPr>
            <w:tcW w:w="528" w:type="dxa"/>
            <w:vAlign w:val="center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center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Align w:val="center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Align w:val="center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1061" w:rsidRPr="00545B60" w:rsidTr="007C0567">
        <w:tc>
          <w:tcPr>
            <w:tcW w:w="528" w:type="dxa"/>
            <w:vAlign w:val="center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Align w:val="center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Align w:val="center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Align w:val="center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A6F42" w:rsidRPr="00545B60" w:rsidRDefault="009A6F42" w:rsidP="0054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1"/>
        <w:gridCol w:w="4795"/>
      </w:tblGrid>
      <w:tr w:rsidR="00271061" w:rsidRPr="00545B60" w:rsidTr="00545B60">
        <w:tc>
          <w:tcPr>
            <w:tcW w:w="4561" w:type="dxa"/>
          </w:tcPr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4795" w:type="dxa"/>
          </w:tcPr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71061" w:rsidRPr="00545B60" w:rsidTr="00545B60">
        <w:tc>
          <w:tcPr>
            <w:tcW w:w="4561" w:type="dxa"/>
          </w:tcPr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Балахтинского</w:t>
            </w: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______________/______________/</w:t>
            </w: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</w:tcPr>
          <w:p w:rsidR="00271061" w:rsidRPr="00545B60" w:rsidRDefault="00271061" w:rsidP="00545B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1061" w:rsidRPr="00545B60" w:rsidRDefault="00271061" w:rsidP="00545B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_________ поселения Балахтинского муниципального района</w:t>
            </w:r>
          </w:p>
          <w:p w:rsidR="00271061" w:rsidRPr="00545B60" w:rsidRDefault="00271061" w:rsidP="00545B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______________/______________/</w:t>
            </w: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1061" w:rsidRPr="00545B60" w:rsidRDefault="00271061" w:rsidP="00545B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71061" w:rsidRPr="00545B60" w:rsidRDefault="00271061" w:rsidP="00545B60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5B60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№ 2</w:t>
      </w:r>
    </w:p>
    <w:p w:rsidR="00271061" w:rsidRPr="00545B60" w:rsidRDefault="00271061" w:rsidP="00545B60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45B60">
        <w:rPr>
          <w:rFonts w:ascii="Times New Roman" w:hAnsi="Times New Roman" w:cs="Times New Roman"/>
          <w:sz w:val="24"/>
          <w:szCs w:val="24"/>
        </w:rPr>
        <w:t>к Соглашению об условиях предоставления иных межбюджетных трансфертов из бюджета Балахтинского муниципального района бюджетам поселений Балахтинского района</w:t>
      </w:r>
    </w:p>
    <w:p w:rsidR="009A6F42" w:rsidRPr="00545B60" w:rsidRDefault="009A6F42" w:rsidP="00545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42" w:rsidRPr="00545B60" w:rsidRDefault="009A6F42" w:rsidP="00545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9A6F42" w:rsidRPr="00545B60" w:rsidRDefault="009A6F42" w:rsidP="0054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достижении значений результатов</w:t>
      </w:r>
    </w:p>
    <w:p w:rsidR="009A6F42" w:rsidRPr="00545B60" w:rsidRDefault="009A6F42" w:rsidP="0054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использования иного межбюджетного трансферта</w:t>
      </w:r>
    </w:p>
    <w:p w:rsidR="009A6F42" w:rsidRPr="00545B60" w:rsidRDefault="009A6F42" w:rsidP="0054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9747" w:type="dxa"/>
        <w:tblLook w:val="04A0"/>
      </w:tblPr>
      <w:tblGrid>
        <w:gridCol w:w="561"/>
        <w:gridCol w:w="1908"/>
        <w:gridCol w:w="1368"/>
        <w:gridCol w:w="2882"/>
        <w:gridCol w:w="3028"/>
      </w:tblGrid>
      <w:tr w:rsidR="009A6F42" w:rsidRPr="00545B60" w:rsidTr="007C0567">
        <w:tc>
          <w:tcPr>
            <w:tcW w:w="534" w:type="dxa"/>
            <w:vAlign w:val="center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4" w:type="dxa"/>
            <w:vAlign w:val="center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05" w:type="dxa"/>
            <w:vAlign w:val="center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76" w:type="dxa"/>
            <w:vAlign w:val="center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Плановое значение показателя по состоянию</w:t>
            </w:r>
          </w:p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01.01.20__ года</w:t>
            </w:r>
          </w:p>
        </w:tc>
        <w:tc>
          <w:tcPr>
            <w:tcW w:w="3118" w:type="dxa"/>
            <w:vAlign w:val="center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значение показателя по состоянию</w:t>
            </w:r>
          </w:p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01.01.20__ года</w:t>
            </w:r>
          </w:p>
        </w:tc>
      </w:tr>
      <w:tr w:rsidR="009A6F42" w:rsidRPr="00545B60" w:rsidTr="00545B60">
        <w:tc>
          <w:tcPr>
            <w:tcW w:w="534" w:type="dxa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A6F42" w:rsidRPr="00545B60" w:rsidRDefault="009A6F42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1061" w:rsidRPr="00545B60" w:rsidTr="00545B60">
        <w:tc>
          <w:tcPr>
            <w:tcW w:w="534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1061" w:rsidRPr="00545B60" w:rsidTr="00545B60">
        <w:tc>
          <w:tcPr>
            <w:tcW w:w="534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1061" w:rsidRPr="00545B60" w:rsidTr="00545B60">
        <w:tc>
          <w:tcPr>
            <w:tcW w:w="534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1061" w:rsidRPr="00545B60" w:rsidTr="00545B60">
        <w:tc>
          <w:tcPr>
            <w:tcW w:w="534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1061" w:rsidRPr="00545B60" w:rsidTr="00545B60">
        <w:tc>
          <w:tcPr>
            <w:tcW w:w="534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1061" w:rsidRPr="00545B60" w:rsidTr="00545B60">
        <w:tc>
          <w:tcPr>
            <w:tcW w:w="534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71061" w:rsidRPr="00545B60" w:rsidRDefault="00271061" w:rsidP="0054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A6F42" w:rsidRPr="00545B60" w:rsidRDefault="009A6F42" w:rsidP="00545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1"/>
        <w:gridCol w:w="4795"/>
      </w:tblGrid>
      <w:tr w:rsidR="00271061" w:rsidRPr="00545B60" w:rsidTr="00545B60">
        <w:tc>
          <w:tcPr>
            <w:tcW w:w="4561" w:type="dxa"/>
          </w:tcPr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4795" w:type="dxa"/>
          </w:tcPr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71061" w:rsidRPr="00545B60" w:rsidTr="00545B60">
        <w:tc>
          <w:tcPr>
            <w:tcW w:w="4561" w:type="dxa"/>
          </w:tcPr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Балахтинского</w:t>
            </w: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______________/______________/</w:t>
            </w: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</w:tcPr>
          <w:p w:rsidR="00271061" w:rsidRPr="00545B60" w:rsidRDefault="00271061" w:rsidP="00545B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1061" w:rsidRPr="00545B60" w:rsidRDefault="00271061" w:rsidP="00545B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_________ поселения Балахтинского муниципального района</w:t>
            </w:r>
          </w:p>
          <w:p w:rsidR="00271061" w:rsidRPr="00545B60" w:rsidRDefault="00271061" w:rsidP="00545B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______________/______________/</w:t>
            </w: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1061" w:rsidRPr="00545B60" w:rsidRDefault="00271061" w:rsidP="0054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061" w:rsidRPr="00545B60" w:rsidRDefault="00271061" w:rsidP="00545B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71061" w:rsidRPr="00545B60" w:rsidRDefault="00271061" w:rsidP="00545B60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5B60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Приложение № 3</w:t>
      </w:r>
    </w:p>
    <w:p w:rsidR="00271061" w:rsidRPr="00545B60" w:rsidRDefault="00271061" w:rsidP="00545B60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45B60">
        <w:rPr>
          <w:rFonts w:ascii="Times New Roman" w:hAnsi="Times New Roman" w:cs="Times New Roman"/>
          <w:sz w:val="24"/>
          <w:szCs w:val="24"/>
        </w:rPr>
        <w:t>к Соглашению об условиях предоставления иных межбюджетных трансфертов из бюджета Балахтинского муниципального района бюджетам поселений Балахтинского района</w:t>
      </w:r>
    </w:p>
    <w:p w:rsidR="009A6F42" w:rsidRPr="00545B60" w:rsidRDefault="009A6F42" w:rsidP="00545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F42" w:rsidRPr="00545B60" w:rsidRDefault="009A6F42" w:rsidP="00545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9A6F42" w:rsidRPr="00545B60" w:rsidRDefault="009A6F42" w:rsidP="00545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расходовании иного межбюджетного трансферта (ИМБТ)</w:t>
      </w:r>
    </w:p>
    <w:p w:rsidR="009A6F42" w:rsidRPr="00545B60" w:rsidRDefault="009A6F42" w:rsidP="00545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9606" w:type="dxa"/>
        <w:tblLook w:val="04A0"/>
      </w:tblPr>
      <w:tblGrid>
        <w:gridCol w:w="2518"/>
        <w:gridCol w:w="2552"/>
        <w:gridCol w:w="1701"/>
        <w:gridCol w:w="2835"/>
      </w:tblGrid>
      <w:tr w:rsidR="009A6F42" w:rsidRPr="00545B60" w:rsidTr="00545B60">
        <w:tc>
          <w:tcPr>
            <w:tcW w:w="2518" w:type="dxa"/>
            <w:vAlign w:val="center"/>
          </w:tcPr>
          <w:p w:rsidR="009A6F42" w:rsidRPr="00545B60" w:rsidRDefault="009A6F42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ИМБТ, полученного в 20__ г.</w:t>
            </w:r>
          </w:p>
        </w:tc>
        <w:tc>
          <w:tcPr>
            <w:tcW w:w="2552" w:type="dxa"/>
            <w:vAlign w:val="center"/>
          </w:tcPr>
          <w:p w:rsidR="009A6F42" w:rsidRPr="00545B60" w:rsidRDefault="009A6F42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ИМБТ, потраченного в 20__ г.</w:t>
            </w:r>
          </w:p>
        </w:tc>
        <w:tc>
          <w:tcPr>
            <w:tcW w:w="1701" w:type="dxa"/>
            <w:vAlign w:val="center"/>
          </w:tcPr>
          <w:p w:rsidR="009A6F42" w:rsidRPr="00545B60" w:rsidRDefault="009A6F42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ИМБТ</w:t>
            </w:r>
          </w:p>
          <w:p w:rsidR="009A6F42" w:rsidRPr="00545B60" w:rsidRDefault="009A6F42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01.01.20__ г.</w:t>
            </w:r>
          </w:p>
        </w:tc>
        <w:tc>
          <w:tcPr>
            <w:tcW w:w="2835" w:type="dxa"/>
            <w:vAlign w:val="center"/>
          </w:tcPr>
          <w:p w:rsidR="009A6F42" w:rsidRPr="00545B60" w:rsidRDefault="009A6F42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расходования средств ИМБТ</w:t>
            </w:r>
          </w:p>
        </w:tc>
      </w:tr>
      <w:tr w:rsidR="009A6F42" w:rsidRPr="00545B60" w:rsidTr="00545B60">
        <w:tc>
          <w:tcPr>
            <w:tcW w:w="2518" w:type="dxa"/>
          </w:tcPr>
          <w:p w:rsidR="009A6F42" w:rsidRPr="00545B60" w:rsidRDefault="009A6F42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A6F42" w:rsidRPr="00545B60" w:rsidRDefault="009A6F42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6F42" w:rsidRPr="00545B60" w:rsidRDefault="009A6F42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6F42" w:rsidRPr="00545B60" w:rsidRDefault="009A6F42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1061" w:rsidRPr="00545B60" w:rsidTr="00545B60">
        <w:tc>
          <w:tcPr>
            <w:tcW w:w="2518" w:type="dxa"/>
          </w:tcPr>
          <w:p w:rsidR="00271061" w:rsidRPr="00545B60" w:rsidRDefault="00271061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71061" w:rsidRPr="00545B60" w:rsidRDefault="00271061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1061" w:rsidRPr="00545B60" w:rsidRDefault="00271061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71061" w:rsidRPr="00545B60" w:rsidRDefault="00271061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1061" w:rsidRPr="00545B60" w:rsidTr="00545B60">
        <w:tc>
          <w:tcPr>
            <w:tcW w:w="2518" w:type="dxa"/>
          </w:tcPr>
          <w:p w:rsidR="00271061" w:rsidRPr="00545B60" w:rsidRDefault="00271061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71061" w:rsidRPr="00545B60" w:rsidRDefault="00271061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1061" w:rsidRPr="00545B60" w:rsidRDefault="00271061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71061" w:rsidRPr="00545B60" w:rsidRDefault="00271061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1061" w:rsidRPr="00545B60" w:rsidTr="00545B60">
        <w:tc>
          <w:tcPr>
            <w:tcW w:w="2518" w:type="dxa"/>
          </w:tcPr>
          <w:p w:rsidR="00271061" w:rsidRPr="00545B60" w:rsidRDefault="00271061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71061" w:rsidRPr="00545B60" w:rsidRDefault="00271061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1061" w:rsidRPr="00545B60" w:rsidRDefault="00271061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71061" w:rsidRPr="00545B60" w:rsidRDefault="00271061" w:rsidP="0054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A6F42" w:rsidRPr="00545B60" w:rsidRDefault="009A6F42" w:rsidP="00545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71061" w:rsidRPr="00545B60" w:rsidTr="00271061">
        <w:tc>
          <w:tcPr>
            <w:tcW w:w="9356" w:type="dxa"/>
          </w:tcPr>
          <w:p w:rsidR="00271061" w:rsidRPr="00545B60" w:rsidRDefault="00271061" w:rsidP="00545B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_________ поселения Балахтинского муниципального района</w:t>
            </w:r>
          </w:p>
          <w:p w:rsidR="00271061" w:rsidRPr="00545B60" w:rsidRDefault="00271061" w:rsidP="00545B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______________/______________/</w:t>
            </w:r>
          </w:p>
          <w:p w:rsidR="00271061" w:rsidRPr="00545B60" w:rsidRDefault="00271061" w:rsidP="00545B60">
            <w:pPr>
              <w:widowControl w:val="0"/>
              <w:tabs>
                <w:tab w:val="left" w:pos="142"/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1061" w:rsidRPr="00545B60" w:rsidRDefault="00271061" w:rsidP="00545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61" w:rsidRPr="00545B60" w:rsidRDefault="009A6F42" w:rsidP="00545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администрации</w:t>
      </w:r>
      <w:r w:rsidR="00271061" w:rsidRPr="0054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поселения</w:t>
      </w:r>
      <w:r w:rsidR="00271061" w:rsidRPr="0054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1061" w:rsidRPr="00545B60" w:rsidRDefault="00271061" w:rsidP="00545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42" w:rsidRPr="00545B60" w:rsidRDefault="009A6F42" w:rsidP="00545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______________/______________/</w:t>
      </w:r>
    </w:p>
    <w:p w:rsidR="009A6F42" w:rsidRPr="00545B60" w:rsidRDefault="00271061" w:rsidP="00545B60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B6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9A6F42" w:rsidRPr="00545B60" w:rsidSect="00EA699F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60" w:rsidRDefault="00545B60" w:rsidP="00E01C45">
      <w:pPr>
        <w:spacing w:after="0" w:line="240" w:lineRule="auto"/>
      </w:pPr>
      <w:r>
        <w:separator/>
      </w:r>
    </w:p>
  </w:endnote>
  <w:endnote w:type="continuationSeparator" w:id="0">
    <w:p w:rsidR="00545B60" w:rsidRDefault="00545B60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60" w:rsidRDefault="00545B60" w:rsidP="00E01C45">
      <w:pPr>
        <w:spacing w:after="0" w:line="240" w:lineRule="auto"/>
      </w:pPr>
      <w:r>
        <w:separator/>
      </w:r>
    </w:p>
  </w:footnote>
  <w:footnote w:type="continuationSeparator" w:id="0">
    <w:p w:rsidR="00545B60" w:rsidRDefault="00545B60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6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8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0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5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5"/>
  </w:num>
  <w:num w:numId="2">
    <w:abstractNumId w:val="1"/>
  </w:num>
  <w:num w:numId="3">
    <w:abstractNumId w:val="5"/>
  </w:num>
  <w:num w:numId="4">
    <w:abstractNumId w:val="21"/>
  </w:num>
  <w:num w:numId="5">
    <w:abstractNumId w:val="6"/>
  </w:num>
  <w:num w:numId="6">
    <w:abstractNumId w:val="19"/>
  </w:num>
  <w:num w:numId="7">
    <w:abstractNumId w:val="11"/>
  </w:num>
  <w:num w:numId="8">
    <w:abstractNumId w:val="2"/>
  </w:num>
  <w:num w:numId="9">
    <w:abstractNumId w:val="9"/>
  </w:num>
  <w:num w:numId="10">
    <w:abstractNumId w:val="23"/>
  </w:num>
  <w:num w:numId="11">
    <w:abstractNumId w:val="3"/>
  </w:num>
  <w:num w:numId="12">
    <w:abstractNumId w:val="17"/>
  </w:num>
  <w:num w:numId="13">
    <w:abstractNumId w:val="24"/>
  </w:num>
  <w:num w:numId="14">
    <w:abstractNumId w:val="8"/>
  </w:num>
  <w:num w:numId="15">
    <w:abstractNumId w:val="15"/>
  </w:num>
  <w:num w:numId="16">
    <w:abstractNumId w:val="18"/>
  </w:num>
  <w:num w:numId="17">
    <w:abstractNumId w:val="22"/>
  </w:num>
  <w:num w:numId="18">
    <w:abstractNumId w:val="4"/>
  </w:num>
  <w:num w:numId="19">
    <w:abstractNumId w:val="20"/>
  </w:num>
  <w:num w:numId="20">
    <w:abstractNumId w:val="13"/>
  </w:num>
  <w:num w:numId="21">
    <w:abstractNumId w:val="14"/>
  </w:num>
  <w:num w:numId="22">
    <w:abstractNumId w:val="12"/>
  </w:num>
  <w:num w:numId="23">
    <w:abstractNumId w:val="16"/>
  </w:num>
  <w:num w:numId="24">
    <w:abstractNumId w:val="0"/>
  </w:num>
  <w:num w:numId="25">
    <w:abstractNumId w:val="7"/>
  </w:num>
  <w:num w:numId="26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6DD1"/>
    <w:rsid w:val="00260FB7"/>
    <w:rsid w:val="00261F7F"/>
    <w:rsid w:val="00271061"/>
    <w:rsid w:val="00276A7F"/>
    <w:rsid w:val="0029791F"/>
    <w:rsid w:val="002B35B5"/>
    <w:rsid w:val="002C4005"/>
    <w:rsid w:val="002C5D23"/>
    <w:rsid w:val="002D10A1"/>
    <w:rsid w:val="002D6ECA"/>
    <w:rsid w:val="002E6D6D"/>
    <w:rsid w:val="002F5C5A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5946"/>
    <w:rsid w:val="003D664F"/>
    <w:rsid w:val="003E451D"/>
    <w:rsid w:val="00415D75"/>
    <w:rsid w:val="004274D6"/>
    <w:rsid w:val="0043086D"/>
    <w:rsid w:val="004467C9"/>
    <w:rsid w:val="00454487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5B60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7646"/>
    <w:rsid w:val="00651551"/>
    <w:rsid w:val="00666BF8"/>
    <w:rsid w:val="00673C14"/>
    <w:rsid w:val="00675D42"/>
    <w:rsid w:val="00676B28"/>
    <w:rsid w:val="006A2F55"/>
    <w:rsid w:val="006A5CE1"/>
    <w:rsid w:val="006A7110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57EDB"/>
    <w:rsid w:val="0086748B"/>
    <w:rsid w:val="0087604F"/>
    <w:rsid w:val="00891554"/>
    <w:rsid w:val="008A1944"/>
    <w:rsid w:val="008C7B52"/>
    <w:rsid w:val="008D6D42"/>
    <w:rsid w:val="008E7EF4"/>
    <w:rsid w:val="0090589A"/>
    <w:rsid w:val="009077FD"/>
    <w:rsid w:val="00913F84"/>
    <w:rsid w:val="00927149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814C1"/>
    <w:rsid w:val="00A83C12"/>
    <w:rsid w:val="00A92C6A"/>
    <w:rsid w:val="00A9305C"/>
    <w:rsid w:val="00AD035D"/>
    <w:rsid w:val="00B237CB"/>
    <w:rsid w:val="00B35F5D"/>
    <w:rsid w:val="00B419D6"/>
    <w:rsid w:val="00B50575"/>
    <w:rsid w:val="00B60B27"/>
    <w:rsid w:val="00B6670E"/>
    <w:rsid w:val="00B8129D"/>
    <w:rsid w:val="00B85C38"/>
    <w:rsid w:val="00B97064"/>
    <w:rsid w:val="00BB1B91"/>
    <w:rsid w:val="00BB5934"/>
    <w:rsid w:val="00BE26C5"/>
    <w:rsid w:val="00C004A1"/>
    <w:rsid w:val="00C25D5D"/>
    <w:rsid w:val="00C3376E"/>
    <w:rsid w:val="00C400BD"/>
    <w:rsid w:val="00C434D2"/>
    <w:rsid w:val="00C640FE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C45"/>
    <w:rsid w:val="00E107EB"/>
    <w:rsid w:val="00E122F6"/>
    <w:rsid w:val="00E174CB"/>
    <w:rsid w:val="00E1794B"/>
    <w:rsid w:val="00E234B6"/>
    <w:rsid w:val="00E259C8"/>
    <w:rsid w:val="00E363D7"/>
    <w:rsid w:val="00E5765A"/>
    <w:rsid w:val="00E62D1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B1732"/>
    <w:rsid w:val="00FB40B8"/>
    <w:rsid w:val="00FC206A"/>
    <w:rsid w:val="00FD102E"/>
    <w:rsid w:val="00FF47F4"/>
    <w:rsid w:val="00FF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FD"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219F4A3F727056529D97B735A3500FBCFC2DA5A85F7C300D649E899Eu9c2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219F4A3F727056529D97B735A3500FBCFC2DA5A85F7C300D649E899Eu9c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B8C7A90B0F5BD0DD7B0F26E822D84F28A0ED2A9DC1C3F629D99720EE3DF2D83B07ED6A1170y94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04A15-72CE-4601-A8E7-9DF81724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10704</TotalTime>
  <Pages>9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</cp:lastModifiedBy>
  <cp:revision>50</cp:revision>
  <cp:lastPrinted>2023-10-27T01:43:00Z</cp:lastPrinted>
  <dcterms:created xsi:type="dcterms:W3CDTF">2023-05-23T03:13:00Z</dcterms:created>
  <dcterms:modified xsi:type="dcterms:W3CDTF">2023-11-15T08:05:00Z</dcterms:modified>
</cp:coreProperties>
</file>