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B12E2C" w:rsidRPr="00023525" w:rsidRDefault="00023525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проект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201</w:t>
      </w:r>
      <w:r w:rsidR="00E117D3" w:rsidRPr="00E117D3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E117D3" w:rsidRPr="00E117D3">
        <w:rPr>
          <w:b/>
          <w:sz w:val="28"/>
        </w:rPr>
        <w:t>9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20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E117D3" w:rsidRPr="00E3316B">
        <w:rPr>
          <w:b/>
          <w:sz w:val="28"/>
        </w:rPr>
        <w:t>1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E117D3" w:rsidRPr="00E117D3">
        <w:rPr>
          <w:b/>
          <w:sz w:val="28"/>
          <w:szCs w:val="28"/>
        </w:rPr>
        <w:t>9</w:t>
      </w:r>
      <w:r w:rsidR="00307B4A">
        <w:rPr>
          <w:b/>
          <w:sz w:val="28"/>
          <w:szCs w:val="28"/>
        </w:rPr>
        <w:t xml:space="preserve"> год и плановый период 20</w:t>
      </w:r>
      <w:r w:rsidR="00E117D3" w:rsidRPr="00E117D3">
        <w:rPr>
          <w:b/>
          <w:sz w:val="28"/>
          <w:szCs w:val="28"/>
        </w:rPr>
        <w:t>20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E117D3" w:rsidRPr="00E117D3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904051,1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E42CAB">
        <w:rPr>
          <w:sz w:val="28"/>
          <w:szCs w:val="28"/>
        </w:rPr>
        <w:t>878856,2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фицит</w:t>
      </w:r>
      <w:proofErr w:type="spellEnd"/>
      <w:r w:rsidRPr="00E45577">
        <w:rPr>
          <w:sz w:val="28"/>
          <w:szCs w:val="28"/>
        </w:rPr>
        <w:t xml:space="preserve"> районного бюджета  </w:t>
      </w:r>
      <w:r w:rsidR="00E42CAB">
        <w:rPr>
          <w:sz w:val="28"/>
          <w:szCs w:val="28"/>
        </w:rPr>
        <w:t>25194,9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E42CAB">
        <w:rPr>
          <w:sz w:val="28"/>
          <w:szCs w:val="28"/>
        </w:rPr>
        <w:t>25194,9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0229AF">
        <w:rPr>
          <w:sz w:val="28"/>
          <w:szCs w:val="28"/>
        </w:rPr>
        <w:t>887705,9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7521,2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CC6BE8">
        <w:rPr>
          <w:b/>
          <w:sz w:val="28"/>
          <w:szCs w:val="28"/>
        </w:rPr>
        <w:t>9 год и плановый период 2020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C7D98">
        <w:rPr>
          <w:sz w:val="28"/>
          <w:szCs w:val="28"/>
        </w:rPr>
        <w:t>-202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CC6BE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плановый период 20</w:t>
      </w:r>
      <w:r w:rsidR="00CC6BE8">
        <w:rPr>
          <w:b/>
          <w:sz w:val="28"/>
          <w:szCs w:val="28"/>
        </w:rPr>
        <w:t>20</w:t>
      </w:r>
      <w:r w:rsidR="007C7D98">
        <w:rPr>
          <w:b/>
          <w:sz w:val="28"/>
          <w:szCs w:val="28"/>
        </w:rPr>
        <w:t>-202</w:t>
      </w:r>
      <w:r w:rsidR="00CC6BE8">
        <w:rPr>
          <w:b/>
          <w:sz w:val="28"/>
          <w:szCs w:val="28"/>
        </w:rPr>
        <w:t>1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20</w:t>
      </w:r>
      <w:r w:rsidR="007C7D98">
        <w:rPr>
          <w:sz w:val="28"/>
          <w:szCs w:val="28"/>
        </w:rPr>
        <w:t xml:space="preserve"> -202</w:t>
      </w:r>
      <w:r w:rsidR="00CC6BE8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201</w:t>
      </w:r>
      <w:r w:rsidR="00CC6BE8">
        <w:rPr>
          <w:sz w:val="28"/>
          <w:szCs w:val="28"/>
        </w:rPr>
        <w:t>9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20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CC6BE8"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 xml:space="preserve">1421,4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 w:rsidR="00CC6BE8"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 и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CC6BE8"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CC6BE8">
        <w:rPr>
          <w:b/>
          <w:sz w:val="28"/>
          <w:szCs w:val="28"/>
        </w:rPr>
        <w:t>9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20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>)  на сумму средств межбюджетных трансфертов, п</w:t>
      </w:r>
      <w:r w:rsidR="00F96EF7">
        <w:rPr>
          <w:sz w:val="28"/>
          <w:szCs w:val="28"/>
        </w:rPr>
        <w:t>ередаваемых</w:t>
      </w:r>
      <w:r w:rsidR="00307B4A" w:rsidRPr="003E27F0">
        <w:rPr>
          <w:sz w:val="28"/>
          <w:szCs w:val="28"/>
        </w:rPr>
        <w:t xml:space="preserve">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</w:t>
      </w:r>
      <w:r w:rsidR="00B934B0" w:rsidRPr="003E27F0">
        <w:rPr>
          <w:sz w:val="28"/>
          <w:szCs w:val="28"/>
        </w:rPr>
        <w:lastRenderedPageBreak/>
        <w:t>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</w:t>
      </w:r>
      <w:r w:rsidR="004240E1">
        <w:rPr>
          <w:sz w:val="28"/>
          <w:szCs w:val="28"/>
        </w:rPr>
        <w:t xml:space="preserve">, персональные выплаты, устанавливаемые с учетом  опыта работы при наличии ученой степени, почетного звания, нагрудного знака </w:t>
      </w:r>
      <w:proofErr w:type="gramStart"/>
      <w:r w:rsidR="004240E1">
        <w:rPr>
          <w:sz w:val="28"/>
          <w:szCs w:val="28"/>
        </w:rPr>
        <w:t xml:space="preserve">( </w:t>
      </w:r>
      <w:proofErr w:type="gramEnd"/>
      <w:r w:rsidR="004240E1">
        <w:rPr>
          <w:sz w:val="28"/>
          <w:szCs w:val="28"/>
        </w:rPr>
        <w:t>значка)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201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CC6BE8">
        <w:rPr>
          <w:sz w:val="28"/>
          <w:szCs w:val="28"/>
        </w:rPr>
        <w:t>9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lastRenderedPageBreak/>
        <w:t>16)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17)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3CC4">
        <w:rPr>
          <w:sz w:val="28"/>
          <w:szCs w:val="28"/>
        </w:rPr>
        <w:t>8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474201" w:rsidRPr="00CB5DDF" w:rsidRDefault="00307B4A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Размеры денежного вознаграждения лиц</w:t>
      </w:r>
      <w:r w:rsidR="008209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765067">
        <w:rPr>
          <w:color w:val="000000"/>
          <w:sz w:val="28"/>
          <w:szCs w:val="28"/>
        </w:rPr>
        <w:t xml:space="preserve">, </w:t>
      </w:r>
      <w:r w:rsidR="00123B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474201" w:rsidRPr="00CB5DDF">
        <w:rPr>
          <w:sz w:val="28"/>
          <w:szCs w:val="28"/>
        </w:rPr>
        <w:t>проиндексированные в 2009, 2011, 2012, 2013, 2015, 2018 годах, увеличиваются (индексируются):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2019 году на 4,3 процента с 1 октября 2019 года;</w:t>
      </w:r>
    </w:p>
    <w:p w:rsidR="00474201" w:rsidRPr="00CB5DDF" w:rsidRDefault="00474201" w:rsidP="004742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DDF">
        <w:rPr>
          <w:sz w:val="28"/>
          <w:szCs w:val="28"/>
        </w:rPr>
        <w:t>в плановом периоде 2020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CB5DDF">
        <w:rPr>
          <w:sz w:val="28"/>
          <w:szCs w:val="28"/>
        </w:rPr>
        <w:t>2021 годов на коэффициент, равный 1.</w:t>
      </w:r>
    </w:p>
    <w:p w:rsidR="007605A5" w:rsidRDefault="007605A5" w:rsidP="00474201">
      <w:pPr>
        <w:ind w:firstLine="708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523CFB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523CF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годов, составляет 5</w:t>
      </w:r>
      <w:r w:rsidR="00123B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123B7B">
        <w:rPr>
          <w:iCs/>
          <w:sz w:val="28"/>
          <w:szCs w:val="28"/>
        </w:rPr>
        <w:t>ая</w:t>
      </w:r>
      <w:r>
        <w:rPr>
          <w:iCs/>
          <w:sz w:val="28"/>
          <w:szCs w:val="28"/>
        </w:rPr>
        <w:t xml:space="preserve"> единиц</w:t>
      </w:r>
      <w:r w:rsidR="00123B7B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2019 году на 4,3 процента с 1 октября 2019 года;</w:t>
      </w:r>
    </w:p>
    <w:p w:rsidR="00DB063D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55FDF">
        <w:rPr>
          <w:rFonts w:ascii="Times New Roman" w:hAnsi="Times New Roman" w:cs="Times New Roman"/>
          <w:sz w:val="28"/>
          <w:szCs w:val="28"/>
        </w:rPr>
        <w:t>в плановом периоде 2020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-</w:t>
      </w:r>
      <w:r w:rsidRPr="00973299">
        <w:rPr>
          <w:sz w:val="28"/>
          <w:szCs w:val="28"/>
        </w:rPr>
        <w:t> </w:t>
      </w:r>
      <w:r w:rsidRPr="00055FDF">
        <w:rPr>
          <w:rFonts w:ascii="Times New Roman" w:hAnsi="Times New Roman" w:cs="Times New Roman"/>
          <w:sz w:val="28"/>
          <w:szCs w:val="28"/>
        </w:rPr>
        <w:t>2021 годов на коэффициент, равный 1.</w:t>
      </w: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2C78D7">
        <w:rPr>
          <w:b/>
          <w:sz w:val="28"/>
          <w:szCs w:val="28"/>
        </w:rPr>
        <w:t>9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8372CD">
        <w:rPr>
          <w:b/>
          <w:color w:val="000000"/>
          <w:sz w:val="28"/>
          <w:szCs w:val="28"/>
        </w:rPr>
        <w:t>9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8372CD">
        <w:rPr>
          <w:sz w:val="28"/>
          <w:szCs w:val="28"/>
        </w:rPr>
        <w:t>9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10</w:t>
      </w:r>
      <w:r w:rsidR="00307B4A">
        <w:rPr>
          <w:sz w:val="28"/>
          <w:szCs w:val="28"/>
        </w:rPr>
        <w:t xml:space="preserve"> рабочих дней 201</w:t>
      </w:r>
      <w:r w:rsidR="008372CD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C95DEA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</w:t>
      </w:r>
      <w:r>
        <w:rPr>
          <w:sz w:val="28"/>
          <w:szCs w:val="28"/>
        </w:rPr>
        <w:lastRenderedPageBreak/>
        <w:t>направляться на покрытие временных кассовых разрывов, возникающих в ходе исполнения районного бюджета в 201</w:t>
      </w:r>
      <w:r w:rsidR="00C95DEA">
        <w:rPr>
          <w:sz w:val="28"/>
          <w:szCs w:val="28"/>
        </w:rPr>
        <w:t>9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9B01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9B0151">
        <w:rPr>
          <w:sz w:val="28"/>
          <w:szCs w:val="28"/>
        </w:rPr>
        <w:t>9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074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E355A3" w:rsidRPr="003E27F0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E355A3" w:rsidRPr="00276449" w:rsidRDefault="00E355A3" w:rsidP="00307B4A">
      <w:pPr>
        <w:ind w:firstLine="720"/>
        <w:jc w:val="both"/>
        <w:rPr>
          <w:sz w:val="28"/>
          <w:szCs w:val="28"/>
        </w:rPr>
      </w:pPr>
    </w:p>
    <w:p w:rsidR="00C07407" w:rsidRPr="00276449" w:rsidRDefault="00C07407" w:rsidP="00C07407">
      <w:pPr>
        <w:jc w:val="both"/>
        <w:rPr>
          <w:b/>
          <w:sz w:val="28"/>
          <w:szCs w:val="28"/>
        </w:rPr>
      </w:pPr>
      <w:r w:rsidRPr="00276449">
        <w:rPr>
          <w:b/>
          <w:sz w:val="28"/>
          <w:szCs w:val="28"/>
        </w:rPr>
        <w:t xml:space="preserve">          </w:t>
      </w:r>
    </w:p>
    <w:p w:rsidR="0079299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E355A3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7B5CB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7B5CBF" w:rsidRPr="007B5CBF">
        <w:rPr>
          <w:sz w:val="28"/>
          <w:szCs w:val="28"/>
        </w:rPr>
        <w:t>11325,1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20</w:t>
      </w:r>
      <w:r w:rsidRPr="002B0172">
        <w:rPr>
          <w:sz w:val="28"/>
          <w:szCs w:val="28"/>
        </w:rPr>
        <w:t xml:space="preserve"> году </w:t>
      </w:r>
      <w:r w:rsidR="006B184C">
        <w:rPr>
          <w:sz w:val="28"/>
          <w:szCs w:val="28"/>
        </w:rPr>
        <w:t>11982,0</w:t>
      </w:r>
      <w:r w:rsidR="00FF2F67">
        <w:rPr>
          <w:sz w:val="28"/>
          <w:szCs w:val="28"/>
        </w:rPr>
        <w:t xml:space="preserve"> тыс. рублей, в 202</w:t>
      </w:r>
      <w:r w:rsidR="006B184C">
        <w:rPr>
          <w:sz w:val="28"/>
          <w:szCs w:val="28"/>
        </w:rPr>
        <w:t>1</w:t>
      </w:r>
      <w:r w:rsidRPr="002B0172">
        <w:rPr>
          <w:sz w:val="28"/>
          <w:szCs w:val="28"/>
        </w:rPr>
        <w:t xml:space="preserve"> году в сумме </w:t>
      </w:r>
      <w:r w:rsidR="006B184C">
        <w:rPr>
          <w:sz w:val="28"/>
          <w:szCs w:val="28"/>
        </w:rPr>
        <w:t>12676,9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E26512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B76085" w:rsidRPr="00B76085">
        <w:rPr>
          <w:sz w:val="28"/>
          <w:szCs w:val="28"/>
        </w:rPr>
        <w:t>20372,6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сумме </w:t>
      </w:r>
      <w:r w:rsidR="007B5CBF">
        <w:rPr>
          <w:sz w:val="28"/>
          <w:szCs w:val="28"/>
        </w:rPr>
        <w:t>212</w:t>
      </w:r>
      <w:r w:rsidR="006A2CA1">
        <w:rPr>
          <w:sz w:val="28"/>
          <w:szCs w:val="28"/>
        </w:rPr>
        <w:t>4</w:t>
      </w:r>
      <w:r w:rsidR="007B5CBF">
        <w:rPr>
          <w:sz w:val="28"/>
          <w:szCs w:val="28"/>
        </w:rPr>
        <w:t xml:space="preserve">5,4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B7608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7B5CBF">
        <w:rPr>
          <w:sz w:val="28"/>
          <w:szCs w:val="28"/>
        </w:rPr>
        <w:t>22757,6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</w:t>
      </w:r>
      <w:r w:rsidR="00443E6D">
        <w:rPr>
          <w:sz w:val="28"/>
          <w:szCs w:val="28"/>
        </w:rPr>
        <w:t>9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443E6D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77733C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443E6D">
        <w:rPr>
          <w:sz w:val="28"/>
          <w:szCs w:val="28"/>
        </w:rPr>
        <w:t>26554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D611C5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140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46262,3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0148EB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11B15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211B15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 xml:space="preserve"> Статья 1</w:t>
      </w:r>
      <w:r w:rsidR="004065F0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316B">
        <w:rPr>
          <w:sz w:val="28"/>
          <w:szCs w:val="28"/>
        </w:rPr>
        <w:t>1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FF2F67">
        <w:rPr>
          <w:sz w:val="28"/>
          <w:szCs w:val="28"/>
        </w:rPr>
        <w:t>-202</w:t>
      </w:r>
      <w:r w:rsidR="00E3316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E3316B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623919" w:rsidRDefault="00855FCB" w:rsidP="00855FCB">
      <w:pPr>
        <w:jc w:val="both"/>
      </w:pPr>
      <w:r w:rsidRPr="00623919">
        <w:t>Глав</w:t>
      </w:r>
      <w:r w:rsidR="00E3316B">
        <w:t>а</w:t>
      </w:r>
      <w:r w:rsidRPr="00623919">
        <w:t xml:space="preserve"> района                                                </w:t>
      </w:r>
      <w:r w:rsidR="00AB3B5B">
        <w:t xml:space="preserve"> </w:t>
      </w:r>
      <w:r w:rsidR="007155A4">
        <w:t xml:space="preserve"> </w:t>
      </w:r>
      <w:r w:rsidRPr="00623919">
        <w:t>Председатель районного Совета</w:t>
      </w:r>
      <w:r w:rsidR="00FB4FAD">
        <w:t xml:space="preserve"> </w:t>
      </w:r>
      <w:r w:rsidR="007155A4">
        <w:t>депутатов</w:t>
      </w:r>
    </w:p>
    <w:p w:rsidR="00855FCB" w:rsidRPr="00623919" w:rsidRDefault="00855FCB" w:rsidP="00855FCB">
      <w:pPr>
        <w:jc w:val="both"/>
      </w:pPr>
    </w:p>
    <w:p w:rsidR="00855FCB" w:rsidRDefault="00855FCB" w:rsidP="00855FCB">
      <w:pPr>
        <w:jc w:val="both"/>
      </w:pPr>
      <w:r w:rsidRPr="00623919">
        <w:t xml:space="preserve">  </w:t>
      </w:r>
    </w:p>
    <w:p w:rsidR="00855FCB" w:rsidRDefault="00855FCB" w:rsidP="00855FCB">
      <w:pPr>
        <w:jc w:val="both"/>
      </w:pPr>
    </w:p>
    <w:p w:rsidR="00855FCB" w:rsidRPr="00623919" w:rsidRDefault="00855FCB" w:rsidP="00855FCB">
      <w:pPr>
        <w:jc w:val="both"/>
      </w:pPr>
      <w:r w:rsidRPr="00623919">
        <w:t xml:space="preserve"> ____________ </w:t>
      </w:r>
      <w:r w:rsidR="00E3316B">
        <w:t>Л.И.Старцев</w:t>
      </w:r>
      <w:r w:rsidRPr="00623919">
        <w:t xml:space="preserve">                     </w:t>
      </w:r>
      <w:r>
        <w:t xml:space="preserve">                         </w:t>
      </w:r>
      <w:r w:rsidRPr="00623919">
        <w:t xml:space="preserve"> ______________ Т.М. </w:t>
      </w:r>
      <w:proofErr w:type="spellStart"/>
      <w:r w:rsidRPr="00623919"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413D3"/>
    <w:rsid w:val="00251F2A"/>
    <w:rsid w:val="00276449"/>
    <w:rsid w:val="00293E7E"/>
    <w:rsid w:val="002A1EE4"/>
    <w:rsid w:val="002A2A27"/>
    <w:rsid w:val="002A5C94"/>
    <w:rsid w:val="002B0172"/>
    <w:rsid w:val="002B0378"/>
    <w:rsid w:val="002B32AD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614CB"/>
    <w:rsid w:val="00671E39"/>
    <w:rsid w:val="00684762"/>
    <w:rsid w:val="00691813"/>
    <w:rsid w:val="00692C83"/>
    <w:rsid w:val="006A2CA1"/>
    <w:rsid w:val="006A4EA3"/>
    <w:rsid w:val="006B134D"/>
    <w:rsid w:val="006B184C"/>
    <w:rsid w:val="006C0CAE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C507F"/>
    <w:rsid w:val="008D227C"/>
    <w:rsid w:val="008E3BD2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088B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6085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7CAB"/>
    <w:rsid w:val="00C518D2"/>
    <w:rsid w:val="00C52241"/>
    <w:rsid w:val="00C7334F"/>
    <w:rsid w:val="00C76D5C"/>
    <w:rsid w:val="00C95DEA"/>
    <w:rsid w:val="00CB3E41"/>
    <w:rsid w:val="00CC2BE4"/>
    <w:rsid w:val="00CC6BE8"/>
    <w:rsid w:val="00CC746F"/>
    <w:rsid w:val="00CD26B2"/>
    <w:rsid w:val="00CE4047"/>
    <w:rsid w:val="00CF3945"/>
    <w:rsid w:val="00CF5DAE"/>
    <w:rsid w:val="00CF71BA"/>
    <w:rsid w:val="00D12509"/>
    <w:rsid w:val="00D14023"/>
    <w:rsid w:val="00D209A3"/>
    <w:rsid w:val="00D25125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0E5A"/>
    <w:rsid w:val="00D83951"/>
    <w:rsid w:val="00D84B78"/>
    <w:rsid w:val="00D933A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B1E2B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6EF7"/>
    <w:rsid w:val="00F970CA"/>
    <w:rsid w:val="00FB4FAD"/>
    <w:rsid w:val="00FC4A53"/>
    <w:rsid w:val="00FD3182"/>
    <w:rsid w:val="00FE3B74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F33D6-8F4D-4AC4-A379-F1F2370C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10</Pages>
  <Words>3384</Words>
  <Characters>19290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290</cp:revision>
  <cp:lastPrinted>2017-11-11T05:55:00Z</cp:lastPrinted>
  <dcterms:created xsi:type="dcterms:W3CDTF">2011-11-12T14:57:00Z</dcterms:created>
  <dcterms:modified xsi:type="dcterms:W3CDTF">2018-11-14T00:57:00Z</dcterms:modified>
</cp:coreProperties>
</file>