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80" w:rsidRDefault="00F42680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pacing w:val="100"/>
          <w:sz w:val="36"/>
        </w:rPr>
      </w:pPr>
      <w:r>
        <w:object w:dxaOrig="864" w:dyaOrig="1108">
          <v:rect id="rectole0000000000" o:spid="_x0000_i1025" style="width:43.35pt;height:55.35pt" o:ole="" o:preferrelative="t" stroked="f">
            <v:imagedata r:id="rId4" o:title=""/>
          </v:rect>
          <o:OLEObject Type="Embed" ProgID="StaticMetafile" ShapeID="rectole0000000000" DrawAspect="Content" ObjectID="_1698387655" r:id="rId5"/>
        </w:objec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36"/>
        </w:rPr>
      </w:pPr>
      <w:r>
        <w:rPr>
          <w:rFonts w:ascii="Arial" w:eastAsia="Arial" w:hAnsi="Arial" w:cs="Arial"/>
          <w:sz w:val="36"/>
        </w:rPr>
        <w:t xml:space="preserve">К </w:t>
      </w:r>
      <w:proofErr w:type="spellStart"/>
      <w:proofErr w:type="gramStart"/>
      <w:r>
        <w:rPr>
          <w:rFonts w:ascii="Arial" w:eastAsia="Arial" w:hAnsi="Arial" w:cs="Arial"/>
          <w:sz w:val="36"/>
        </w:rPr>
        <w:t>р</w:t>
      </w:r>
      <w:proofErr w:type="spellEnd"/>
      <w:proofErr w:type="gramEnd"/>
      <w:r>
        <w:rPr>
          <w:rFonts w:ascii="Arial" w:eastAsia="Arial" w:hAnsi="Arial" w:cs="Arial"/>
          <w:sz w:val="36"/>
        </w:rPr>
        <w:t xml:space="preserve"> а с </w:t>
      </w:r>
      <w:proofErr w:type="spellStart"/>
      <w:r>
        <w:rPr>
          <w:rFonts w:ascii="Arial" w:eastAsia="Arial" w:hAnsi="Arial" w:cs="Arial"/>
          <w:sz w:val="36"/>
        </w:rPr>
        <w:t>н</w:t>
      </w:r>
      <w:proofErr w:type="spellEnd"/>
      <w:r>
        <w:rPr>
          <w:rFonts w:ascii="Arial" w:eastAsia="Arial" w:hAnsi="Arial" w:cs="Arial"/>
          <w:sz w:val="36"/>
        </w:rPr>
        <w:t xml:space="preserve"> о я </w:t>
      </w:r>
      <w:proofErr w:type="spellStart"/>
      <w:r>
        <w:rPr>
          <w:rFonts w:ascii="Arial" w:eastAsia="Arial" w:hAnsi="Arial" w:cs="Arial"/>
          <w:sz w:val="36"/>
        </w:rPr>
        <w:t>р</w:t>
      </w:r>
      <w:proofErr w:type="spellEnd"/>
      <w:r>
        <w:rPr>
          <w:rFonts w:ascii="Arial" w:eastAsia="Arial" w:hAnsi="Arial" w:cs="Arial"/>
          <w:sz w:val="36"/>
        </w:rPr>
        <w:t xml:space="preserve"> с к и </w:t>
      </w:r>
      <w:proofErr w:type="spellStart"/>
      <w:r>
        <w:rPr>
          <w:rFonts w:ascii="Arial" w:eastAsia="Arial" w:hAnsi="Arial" w:cs="Arial"/>
          <w:sz w:val="36"/>
        </w:rPr>
        <w:t>й</w:t>
      </w:r>
      <w:proofErr w:type="spellEnd"/>
      <w:r>
        <w:rPr>
          <w:rFonts w:ascii="Arial" w:eastAsia="Arial" w:hAnsi="Arial" w:cs="Arial"/>
          <w:sz w:val="36"/>
        </w:rPr>
        <w:t xml:space="preserve">   к </w:t>
      </w:r>
      <w:proofErr w:type="spellStart"/>
      <w:r>
        <w:rPr>
          <w:rFonts w:ascii="Arial" w:eastAsia="Arial" w:hAnsi="Arial" w:cs="Arial"/>
          <w:sz w:val="36"/>
        </w:rPr>
        <w:t>р</w:t>
      </w:r>
      <w:proofErr w:type="spellEnd"/>
      <w:r>
        <w:rPr>
          <w:rFonts w:ascii="Arial" w:eastAsia="Arial" w:hAnsi="Arial" w:cs="Arial"/>
          <w:sz w:val="36"/>
        </w:rPr>
        <w:t xml:space="preserve"> а </w:t>
      </w:r>
      <w:proofErr w:type="spellStart"/>
      <w:r>
        <w:rPr>
          <w:rFonts w:ascii="Arial" w:eastAsia="Arial" w:hAnsi="Arial" w:cs="Arial"/>
          <w:sz w:val="36"/>
        </w:rPr>
        <w:t>й</w:t>
      </w:r>
      <w:proofErr w:type="spellEnd"/>
    </w:p>
    <w:p w:rsidR="00F42680" w:rsidRDefault="00F42680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0"/>
        </w:rPr>
      </w:pPr>
    </w:p>
    <w:p w:rsidR="00F42680" w:rsidRDefault="000520F7">
      <w:pPr>
        <w:keepNext/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b/>
          <w:sz w:val="36"/>
        </w:rPr>
      </w:pPr>
      <w:r>
        <w:rPr>
          <w:rFonts w:ascii="Arial" w:eastAsia="Arial" w:hAnsi="Arial" w:cs="Arial"/>
          <w:b/>
          <w:sz w:val="36"/>
        </w:rPr>
        <w:t>АДМИНИСТРАЦИЯ БАЛАХТИНСКОГО РАЙОНА</w:t>
      </w:r>
    </w:p>
    <w:p w:rsidR="00F42680" w:rsidRDefault="00F42680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10"/>
        </w:rPr>
      </w:pPr>
    </w:p>
    <w:p w:rsidR="00F42680" w:rsidRDefault="000520F7">
      <w:pPr>
        <w:keepNext/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Постановление</w:t>
      </w:r>
    </w:p>
    <w:p w:rsidR="00F42680" w:rsidRDefault="00F42680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0"/>
        </w:rPr>
      </w:pPr>
    </w:p>
    <w:p w:rsidR="00F42680" w:rsidRDefault="000520F7">
      <w:pPr>
        <w:tabs>
          <w:tab w:val="left" w:pos="-2410"/>
        </w:tabs>
        <w:spacing w:after="0" w:line="240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>от 26.10.2021г.                                    п. Балахта                                                № 598</w:t>
      </w:r>
    </w:p>
    <w:p w:rsidR="00F42680" w:rsidRDefault="00F42680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8"/>
        </w:rPr>
      </w:pPr>
    </w:p>
    <w:p w:rsidR="00F42680" w:rsidRPr="00E44246" w:rsidRDefault="000520F7">
      <w:pPr>
        <w:tabs>
          <w:tab w:val="left" w:pos="-2410"/>
        </w:tabs>
        <w:spacing w:after="0" w:line="240" w:lineRule="auto"/>
        <w:jc w:val="both"/>
        <w:rPr>
          <w:rFonts w:ascii="Arial" w:eastAsia="Arial" w:hAnsi="Arial" w:cs="Arial"/>
          <w:b/>
          <w:sz w:val="27"/>
          <w:szCs w:val="27"/>
        </w:rPr>
      </w:pPr>
      <w:r w:rsidRPr="00E44246">
        <w:rPr>
          <w:rFonts w:ascii="Arial" w:eastAsia="Arial" w:hAnsi="Arial" w:cs="Arial"/>
          <w:b/>
          <w:sz w:val="27"/>
          <w:szCs w:val="27"/>
        </w:rPr>
        <w:t xml:space="preserve">   </w:t>
      </w:r>
      <w:r w:rsidRPr="00E44246">
        <w:rPr>
          <w:rFonts w:ascii="Arial" w:eastAsia="Arial" w:hAnsi="Arial" w:cs="Arial"/>
          <w:b/>
          <w:sz w:val="27"/>
          <w:szCs w:val="27"/>
        </w:rPr>
        <w:t xml:space="preserve">О внесении изменений в постановление  администрации </w:t>
      </w:r>
      <w:proofErr w:type="spellStart"/>
      <w:r w:rsidRPr="00E44246">
        <w:rPr>
          <w:rFonts w:ascii="Arial" w:eastAsia="Arial" w:hAnsi="Arial" w:cs="Arial"/>
          <w:b/>
          <w:sz w:val="27"/>
          <w:szCs w:val="27"/>
        </w:rPr>
        <w:t>Балахтинского</w:t>
      </w:r>
      <w:proofErr w:type="spellEnd"/>
      <w:r w:rsidRPr="00E44246">
        <w:rPr>
          <w:rFonts w:ascii="Arial" w:eastAsia="Arial" w:hAnsi="Arial" w:cs="Arial"/>
          <w:b/>
          <w:sz w:val="27"/>
          <w:szCs w:val="27"/>
        </w:rPr>
        <w:t xml:space="preserve"> района от 01.10.2018г №718 «Об утверждении муниципальной программы </w:t>
      </w:r>
      <w:proofErr w:type="spellStart"/>
      <w:r w:rsidRPr="00E44246">
        <w:rPr>
          <w:rFonts w:ascii="Arial" w:eastAsia="Arial" w:hAnsi="Arial" w:cs="Arial"/>
          <w:b/>
          <w:sz w:val="27"/>
          <w:szCs w:val="27"/>
        </w:rPr>
        <w:t>Балахтинского</w:t>
      </w:r>
      <w:proofErr w:type="spellEnd"/>
      <w:r w:rsidRPr="00E44246">
        <w:rPr>
          <w:rFonts w:ascii="Arial" w:eastAsia="Arial" w:hAnsi="Arial" w:cs="Arial"/>
          <w:b/>
          <w:sz w:val="27"/>
          <w:szCs w:val="27"/>
        </w:rPr>
        <w:t xml:space="preserve"> района « Управление муниципальными финансами»</w:t>
      </w:r>
    </w:p>
    <w:p w:rsidR="00F42680" w:rsidRPr="00E44246" w:rsidRDefault="00F42680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7"/>
          <w:szCs w:val="27"/>
        </w:rPr>
      </w:pPr>
    </w:p>
    <w:p w:rsidR="00F42680" w:rsidRPr="00E44246" w:rsidRDefault="000520F7">
      <w:pPr>
        <w:tabs>
          <w:tab w:val="left" w:pos="-2410"/>
        </w:tabs>
        <w:spacing w:after="0" w:line="240" w:lineRule="auto"/>
        <w:jc w:val="both"/>
        <w:rPr>
          <w:rFonts w:ascii="Arial" w:eastAsia="Arial" w:hAnsi="Arial" w:cs="Arial"/>
          <w:sz w:val="27"/>
          <w:szCs w:val="27"/>
        </w:rPr>
      </w:pPr>
      <w:r w:rsidRPr="00E44246">
        <w:rPr>
          <w:rFonts w:ascii="Arial" w:eastAsia="Arial" w:hAnsi="Arial" w:cs="Arial"/>
          <w:sz w:val="27"/>
          <w:szCs w:val="27"/>
        </w:rPr>
        <w:t xml:space="preserve">            </w:t>
      </w:r>
      <w:proofErr w:type="gramStart"/>
      <w:r w:rsidRPr="00E44246">
        <w:rPr>
          <w:rFonts w:ascii="Arial" w:eastAsia="Arial" w:hAnsi="Arial" w:cs="Arial"/>
          <w:sz w:val="27"/>
          <w:szCs w:val="27"/>
        </w:rPr>
        <w:t>В соответствии со ст.179  Бюджетного кодекса Росси</w:t>
      </w:r>
      <w:r w:rsidRPr="00E44246">
        <w:rPr>
          <w:rFonts w:ascii="Arial" w:eastAsia="Arial" w:hAnsi="Arial" w:cs="Arial"/>
          <w:sz w:val="27"/>
          <w:szCs w:val="27"/>
        </w:rPr>
        <w:t xml:space="preserve">йской Федерации, постановлением администрации 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Балахтинского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 xml:space="preserve"> района от  11. 01. 2017 года № 8  «Об утверждении Порядка принятия решений о разработке муниципальных программ 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Балахтинского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 xml:space="preserve"> района, их формировании и реализации», распоряжением администрации 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Бала</w:t>
      </w:r>
      <w:r w:rsidRPr="00E44246">
        <w:rPr>
          <w:rFonts w:ascii="Arial" w:eastAsia="Arial" w:hAnsi="Arial" w:cs="Arial"/>
          <w:sz w:val="27"/>
          <w:szCs w:val="27"/>
        </w:rPr>
        <w:t>хтинского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 xml:space="preserve"> района 08.10.2021г. № 240 «Об утверждении перечня муниципальных программ»», ст.ст.18,31  Устава 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Балахтинского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 xml:space="preserve"> района,  ПОСТАНОВЛЯЮ: </w:t>
      </w:r>
      <w:proofErr w:type="gramEnd"/>
    </w:p>
    <w:p w:rsidR="00F42680" w:rsidRPr="00E44246" w:rsidRDefault="00F42680">
      <w:pPr>
        <w:tabs>
          <w:tab w:val="left" w:pos="-2410"/>
        </w:tabs>
        <w:spacing w:after="0" w:line="240" w:lineRule="auto"/>
        <w:jc w:val="both"/>
        <w:rPr>
          <w:rFonts w:ascii="Arial" w:eastAsia="Arial" w:hAnsi="Arial" w:cs="Arial"/>
          <w:b/>
          <w:sz w:val="27"/>
          <w:szCs w:val="27"/>
        </w:rPr>
      </w:pPr>
    </w:p>
    <w:p w:rsidR="00F42680" w:rsidRPr="00E44246" w:rsidRDefault="000520F7">
      <w:pPr>
        <w:tabs>
          <w:tab w:val="left" w:pos="-2410"/>
        </w:tabs>
        <w:spacing w:after="0" w:line="240" w:lineRule="auto"/>
        <w:jc w:val="both"/>
        <w:rPr>
          <w:rFonts w:ascii="Arial" w:eastAsia="Arial" w:hAnsi="Arial" w:cs="Arial"/>
          <w:sz w:val="27"/>
          <w:szCs w:val="27"/>
        </w:rPr>
      </w:pPr>
      <w:r w:rsidRPr="00E44246">
        <w:rPr>
          <w:rFonts w:ascii="Arial" w:eastAsia="Arial" w:hAnsi="Arial" w:cs="Arial"/>
          <w:sz w:val="27"/>
          <w:szCs w:val="27"/>
        </w:rPr>
        <w:t xml:space="preserve">           1. Внести следующие изменения в постановление администрации 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Балахтинского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 xml:space="preserve"> района от 01.10.2018г №718 </w:t>
      </w:r>
      <w:r w:rsidRPr="00E44246">
        <w:rPr>
          <w:rFonts w:ascii="Arial" w:eastAsia="Arial" w:hAnsi="Arial" w:cs="Arial"/>
          <w:sz w:val="27"/>
          <w:szCs w:val="27"/>
        </w:rPr>
        <w:t xml:space="preserve">«Об утверждении муниципальной программы 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Балахтинского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 xml:space="preserve"> района « Управление муниципальными финансами»:</w:t>
      </w:r>
    </w:p>
    <w:p w:rsidR="00F42680" w:rsidRPr="00E44246" w:rsidRDefault="000520F7">
      <w:pPr>
        <w:tabs>
          <w:tab w:val="left" w:pos="-2410"/>
        </w:tabs>
        <w:spacing w:after="0" w:line="240" w:lineRule="auto"/>
        <w:jc w:val="both"/>
        <w:rPr>
          <w:rFonts w:ascii="Arial" w:eastAsia="Arial" w:hAnsi="Arial" w:cs="Arial"/>
          <w:sz w:val="27"/>
          <w:szCs w:val="27"/>
        </w:rPr>
      </w:pPr>
      <w:r w:rsidRPr="00E44246">
        <w:rPr>
          <w:rFonts w:ascii="Arial" w:eastAsia="Arial" w:hAnsi="Arial" w:cs="Arial"/>
          <w:sz w:val="27"/>
          <w:szCs w:val="27"/>
        </w:rPr>
        <w:t xml:space="preserve">            1.1 Приложение 1 к постановлению изложить в новой редакции согласно  приложению №1 к настоящему постановлению.</w:t>
      </w:r>
    </w:p>
    <w:p w:rsidR="00F42680" w:rsidRPr="00E44246" w:rsidRDefault="000520F7">
      <w:pPr>
        <w:tabs>
          <w:tab w:val="left" w:pos="1440"/>
        </w:tabs>
        <w:spacing w:after="0" w:line="240" w:lineRule="auto"/>
        <w:jc w:val="both"/>
        <w:rPr>
          <w:rFonts w:ascii="Arial" w:eastAsia="Arial" w:hAnsi="Arial" w:cs="Arial"/>
          <w:sz w:val="27"/>
          <w:szCs w:val="27"/>
        </w:rPr>
      </w:pPr>
      <w:r w:rsidRPr="00E44246">
        <w:rPr>
          <w:rFonts w:ascii="Arial" w:eastAsia="Arial" w:hAnsi="Arial" w:cs="Arial"/>
          <w:sz w:val="27"/>
          <w:szCs w:val="27"/>
        </w:rPr>
        <w:t xml:space="preserve">          2.Общему отделу админи</w:t>
      </w:r>
      <w:r w:rsidRPr="00E44246">
        <w:rPr>
          <w:rFonts w:ascii="Arial" w:eastAsia="Arial" w:hAnsi="Arial" w:cs="Arial"/>
          <w:sz w:val="27"/>
          <w:szCs w:val="27"/>
        </w:rPr>
        <w:t xml:space="preserve">страции района опубликовать постановление в газете «Сельская новь» и на официальном сайте 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Балахтинского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 xml:space="preserve"> района в сети «Интернет» (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Балахтинский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 xml:space="preserve"> 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район</w:t>
      </w:r>
      <w:proofErr w:type="gramStart"/>
      <w:r w:rsidRPr="00E44246">
        <w:rPr>
          <w:rFonts w:ascii="Arial" w:eastAsia="Arial" w:hAnsi="Arial" w:cs="Arial"/>
          <w:sz w:val="27"/>
          <w:szCs w:val="27"/>
        </w:rPr>
        <w:t>.р</w:t>
      </w:r>
      <w:proofErr w:type="gramEnd"/>
      <w:r w:rsidRPr="00E44246">
        <w:rPr>
          <w:rFonts w:ascii="Arial" w:eastAsia="Arial" w:hAnsi="Arial" w:cs="Arial"/>
          <w:sz w:val="27"/>
          <w:szCs w:val="27"/>
        </w:rPr>
        <w:t>ф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>).</w:t>
      </w:r>
    </w:p>
    <w:p w:rsidR="00F42680" w:rsidRPr="00E44246" w:rsidRDefault="000520F7">
      <w:pPr>
        <w:tabs>
          <w:tab w:val="left" w:pos="1440"/>
        </w:tabs>
        <w:spacing w:after="0" w:line="240" w:lineRule="auto"/>
        <w:jc w:val="both"/>
        <w:rPr>
          <w:rFonts w:ascii="Arial" w:eastAsia="Arial" w:hAnsi="Arial" w:cs="Arial"/>
          <w:sz w:val="27"/>
          <w:szCs w:val="27"/>
        </w:rPr>
      </w:pPr>
      <w:r w:rsidRPr="00E44246">
        <w:rPr>
          <w:rFonts w:ascii="Arial" w:eastAsia="Arial" w:hAnsi="Arial" w:cs="Arial"/>
          <w:sz w:val="27"/>
          <w:szCs w:val="27"/>
        </w:rPr>
        <w:t xml:space="preserve">          3.  </w:t>
      </w:r>
      <w:proofErr w:type="gramStart"/>
      <w:r w:rsidRPr="00E44246">
        <w:rPr>
          <w:rFonts w:ascii="Arial" w:eastAsia="Arial" w:hAnsi="Arial" w:cs="Arial"/>
          <w:sz w:val="27"/>
          <w:szCs w:val="27"/>
        </w:rPr>
        <w:t>Контроль за</w:t>
      </w:r>
      <w:proofErr w:type="gramEnd"/>
      <w:r w:rsidRPr="00E44246">
        <w:rPr>
          <w:rFonts w:ascii="Arial" w:eastAsia="Arial" w:hAnsi="Arial" w:cs="Arial"/>
          <w:sz w:val="27"/>
          <w:szCs w:val="27"/>
        </w:rPr>
        <w:t xml:space="preserve"> выполнением настоящего постановления оставляю за собой.</w:t>
      </w:r>
    </w:p>
    <w:p w:rsidR="00F42680" w:rsidRPr="00E44246" w:rsidRDefault="000520F7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7"/>
          <w:szCs w:val="27"/>
        </w:rPr>
      </w:pPr>
      <w:r w:rsidRPr="00E44246">
        <w:rPr>
          <w:rFonts w:ascii="Arial" w:eastAsia="Arial" w:hAnsi="Arial" w:cs="Arial"/>
          <w:sz w:val="27"/>
          <w:szCs w:val="27"/>
        </w:rPr>
        <w:t xml:space="preserve">          4.Ответств</w:t>
      </w:r>
      <w:r w:rsidRPr="00E44246">
        <w:rPr>
          <w:rFonts w:ascii="Arial" w:eastAsia="Arial" w:hAnsi="Arial" w:cs="Arial"/>
          <w:sz w:val="27"/>
          <w:szCs w:val="27"/>
        </w:rPr>
        <w:t xml:space="preserve">енному исполнителю программы в течение 10 дней со дня утверждения постановления </w:t>
      </w:r>
      <w:proofErr w:type="gramStart"/>
      <w:r w:rsidRPr="00E44246">
        <w:rPr>
          <w:rFonts w:ascii="Arial" w:eastAsia="Arial" w:hAnsi="Arial" w:cs="Arial"/>
          <w:sz w:val="27"/>
          <w:szCs w:val="27"/>
        </w:rPr>
        <w:t>разместить его</w:t>
      </w:r>
      <w:proofErr w:type="gramEnd"/>
      <w:r w:rsidRPr="00E44246">
        <w:rPr>
          <w:rFonts w:ascii="Arial" w:eastAsia="Arial" w:hAnsi="Arial" w:cs="Arial"/>
          <w:sz w:val="27"/>
          <w:szCs w:val="27"/>
        </w:rPr>
        <w:t xml:space="preserve"> в государственной автоматизированной информационной системе «Управление» (</w:t>
      </w:r>
      <w:proofErr w:type="spellStart"/>
      <w:r w:rsidRPr="00E44246">
        <w:rPr>
          <w:rFonts w:ascii="Arial" w:eastAsia="Arial" w:hAnsi="Arial" w:cs="Arial"/>
          <w:sz w:val="27"/>
          <w:szCs w:val="27"/>
        </w:rPr>
        <w:t>gasu.gov.ru</w:t>
      </w:r>
      <w:proofErr w:type="spellEnd"/>
      <w:r w:rsidRPr="00E44246">
        <w:rPr>
          <w:rFonts w:ascii="Arial" w:eastAsia="Arial" w:hAnsi="Arial" w:cs="Arial"/>
          <w:sz w:val="27"/>
          <w:szCs w:val="27"/>
        </w:rPr>
        <w:t>).</w:t>
      </w:r>
    </w:p>
    <w:p w:rsidR="00F42680" w:rsidRPr="00E44246" w:rsidRDefault="000520F7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7"/>
          <w:szCs w:val="27"/>
        </w:rPr>
      </w:pPr>
      <w:r w:rsidRPr="00E44246">
        <w:rPr>
          <w:rFonts w:ascii="Arial" w:eastAsia="Arial" w:hAnsi="Arial" w:cs="Arial"/>
          <w:sz w:val="27"/>
          <w:szCs w:val="27"/>
        </w:rPr>
        <w:t xml:space="preserve">           5. Постановление вступает в силу в </w:t>
      </w:r>
      <w:proofErr w:type="gramStart"/>
      <w:r w:rsidRPr="00E44246">
        <w:rPr>
          <w:rFonts w:ascii="Arial" w:eastAsia="Arial" w:hAnsi="Arial" w:cs="Arial"/>
          <w:sz w:val="27"/>
          <w:szCs w:val="27"/>
        </w:rPr>
        <w:t>день</w:t>
      </w:r>
      <w:proofErr w:type="gramEnd"/>
      <w:r w:rsidRPr="00E44246">
        <w:rPr>
          <w:rFonts w:ascii="Arial" w:eastAsia="Arial" w:hAnsi="Arial" w:cs="Arial"/>
          <w:sz w:val="27"/>
          <w:szCs w:val="27"/>
        </w:rPr>
        <w:t xml:space="preserve"> следующий за днем его </w:t>
      </w:r>
      <w:r w:rsidRPr="00E44246">
        <w:rPr>
          <w:rFonts w:ascii="Arial" w:eastAsia="Arial" w:hAnsi="Arial" w:cs="Arial"/>
          <w:sz w:val="27"/>
          <w:szCs w:val="27"/>
        </w:rPr>
        <w:t>официального опубликования в газете «Сельская новь», но не ранее 01.01.2022 года.</w:t>
      </w:r>
    </w:p>
    <w:p w:rsidR="00F42680" w:rsidRDefault="000520F7">
      <w:pPr>
        <w:tabs>
          <w:tab w:val="left" w:pos="-2410"/>
        </w:tabs>
        <w:spacing w:after="0" w:line="240" w:lineRule="auto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</w:t>
      </w:r>
    </w:p>
    <w:p w:rsidR="00F42680" w:rsidRDefault="00F42680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8"/>
        </w:rPr>
      </w:pPr>
    </w:p>
    <w:p w:rsidR="00F42680" w:rsidRDefault="000520F7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8"/>
        </w:rPr>
        <w:t>Глава района                                                                          В.А.Аниканов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F42680" w:rsidRDefault="000520F7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lastRenderedPageBreak/>
        <w:t xml:space="preserve">                                 </w:t>
      </w:r>
    </w:p>
    <w:p w:rsidR="00F42680" w:rsidRDefault="00F42680">
      <w:pPr>
        <w:tabs>
          <w:tab w:val="left" w:pos="-2410"/>
        </w:tabs>
        <w:spacing w:after="0" w:line="240" w:lineRule="auto"/>
        <w:ind w:left="5670"/>
        <w:rPr>
          <w:rFonts w:ascii="Arial" w:eastAsia="Arial" w:hAnsi="Arial" w:cs="Arial"/>
          <w:sz w:val="28"/>
        </w:rPr>
      </w:pPr>
    </w:p>
    <w:p w:rsidR="00F42680" w:rsidRDefault="000520F7">
      <w:pPr>
        <w:tabs>
          <w:tab w:val="left" w:pos="-2410"/>
        </w:tabs>
        <w:spacing w:after="0" w:line="240" w:lineRule="auto"/>
        <w:ind w:left="567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0"/>
        </w:rPr>
        <w:t>Приложение 1</w:t>
      </w:r>
    </w:p>
    <w:p w:rsidR="00F42680" w:rsidRDefault="000520F7">
      <w:pPr>
        <w:tabs>
          <w:tab w:val="left" w:pos="-2410"/>
        </w:tabs>
        <w:spacing w:after="0" w:line="240" w:lineRule="auto"/>
        <w:ind w:left="567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к постановлению администрации </w:t>
      </w:r>
    </w:p>
    <w:p w:rsidR="00F42680" w:rsidRDefault="000520F7">
      <w:pPr>
        <w:tabs>
          <w:tab w:val="left" w:pos="-2410"/>
        </w:tabs>
        <w:spacing w:after="0" w:line="240" w:lineRule="auto"/>
        <w:ind w:left="5670"/>
        <w:rPr>
          <w:rFonts w:ascii="Arial" w:eastAsia="Arial" w:hAnsi="Arial" w:cs="Arial"/>
          <w:sz w:val="20"/>
        </w:rPr>
      </w:pPr>
      <w:proofErr w:type="spellStart"/>
      <w:r>
        <w:rPr>
          <w:rFonts w:ascii="Arial" w:eastAsia="Arial" w:hAnsi="Arial" w:cs="Arial"/>
          <w:sz w:val="20"/>
        </w:rPr>
        <w:t>Балахтинского</w:t>
      </w:r>
      <w:proofErr w:type="spellEnd"/>
      <w:r>
        <w:rPr>
          <w:rFonts w:ascii="Arial" w:eastAsia="Arial" w:hAnsi="Arial" w:cs="Arial"/>
          <w:sz w:val="20"/>
        </w:rPr>
        <w:t xml:space="preserve"> района </w:t>
      </w:r>
    </w:p>
    <w:p w:rsidR="00F42680" w:rsidRDefault="000520F7">
      <w:pPr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от  26.10.2021г. № 598</w:t>
      </w:r>
    </w:p>
    <w:p w:rsidR="00F42680" w:rsidRDefault="00F42680">
      <w:pPr>
        <w:spacing w:after="0" w:line="240" w:lineRule="auto"/>
        <w:jc w:val="center"/>
        <w:rPr>
          <w:rFonts w:ascii="Arial" w:eastAsia="Arial" w:hAnsi="Arial" w:cs="Arial"/>
          <w:sz w:val="20"/>
        </w:rPr>
      </w:pP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Муниципальная  программа</w: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«Управление муниципальными  финансами»</w: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F42680" w:rsidRDefault="00F42680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 Паспорт </w: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муниципал</w:t>
      </w:r>
      <w:r>
        <w:rPr>
          <w:rFonts w:ascii="Arial" w:eastAsia="Arial" w:hAnsi="Arial" w:cs="Arial"/>
          <w:sz w:val="24"/>
        </w:rPr>
        <w:t>ьной  программы</w: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</w: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«Управление муниципальными  финансами»</w:t>
      </w:r>
    </w:p>
    <w:p w:rsidR="00F42680" w:rsidRDefault="00F42680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</w:p>
    <w:tbl>
      <w:tblPr>
        <w:tblW w:w="0" w:type="auto"/>
        <w:tblInd w:w="75" w:type="dxa"/>
        <w:tblCellMar>
          <w:left w:w="10" w:type="dxa"/>
          <w:right w:w="10" w:type="dxa"/>
        </w:tblCellMar>
        <w:tblLook w:val="0000"/>
      </w:tblPr>
      <w:tblGrid>
        <w:gridCol w:w="2400"/>
        <w:gridCol w:w="6960"/>
      </w:tblGrid>
      <w:tr w:rsidR="00F4268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Наименование муниципальной  программы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«Управление муниципальными финансами» (далее – муниципальная программа)</w:t>
            </w:r>
          </w:p>
          <w:p w:rsidR="00F42680" w:rsidRDefault="00F42680">
            <w:pPr>
              <w:spacing w:after="0" w:line="240" w:lineRule="auto"/>
              <w:jc w:val="both"/>
            </w:pP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Основания для разработки муниципальной программы 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постановление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 от 11.01.2017 №8 «Об утверждении Порядка принятия решений о разработке муниципальных программ 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их формировании и реализации»;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распоряж</w:t>
            </w:r>
            <w:r>
              <w:rPr>
                <w:rFonts w:ascii="Arial" w:eastAsia="Arial" w:hAnsi="Arial" w:cs="Arial"/>
                <w:sz w:val="24"/>
              </w:rPr>
              <w:t xml:space="preserve">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08.10.2021г. № 240 «Об утверждении перечня муниципальных программ 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района»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  <w:p w:rsidR="00F42680" w:rsidRDefault="00F42680">
            <w:pPr>
              <w:spacing w:after="0" w:line="240" w:lineRule="auto"/>
              <w:jc w:val="both"/>
            </w:pP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Соисполнители </w:t>
            </w:r>
            <w:r>
              <w:rPr>
                <w:rFonts w:ascii="Arial" w:eastAsia="Arial" w:hAnsi="Arial" w:cs="Arial"/>
                <w:sz w:val="24"/>
              </w:rPr>
              <w:t xml:space="preserve"> муниципальной  программы: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F42680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1. Создание условий для эффективного и ответственного управления муниципальными финансами, повышения устойчивости бюджетов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2. </w:t>
            </w:r>
            <w:r>
              <w:rPr>
                <w:rFonts w:ascii="Arial" w:eastAsia="Arial" w:hAnsi="Arial" w:cs="Arial"/>
                <w:sz w:val="24"/>
              </w:rPr>
              <w:t xml:space="preserve">Обеспечение реализации муниципальной  программы и прочие мероприятия  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1957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Цель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повышение качества и прозрачности управления муниципальн</w:t>
            </w:r>
            <w:r>
              <w:rPr>
                <w:rFonts w:ascii="Arial" w:eastAsia="Arial" w:hAnsi="Arial" w:cs="Arial"/>
                <w:sz w:val="24"/>
              </w:rPr>
              <w:t>ыми  финансами</w:t>
            </w:r>
          </w:p>
          <w:p w:rsidR="00F42680" w:rsidRDefault="00F42680">
            <w:pPr>
              <w:tabs>
                <w:tab w:val="left" w:pos="-2410"/>
              </w:tabs>
              <w:spacing w:after="0" w:line="240" w:lineRule="auto"/>
              <w:jc w:val="both"/>
            </w:pP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112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Задачи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1. </w:t>
            </w:r>
            <w:r>
              <w:rPr>
                <w:rFonts w:ascii="Arial" w:eastAsia="Arial" w:hAnsi="Arial" w:cs="Arial"/>
                <w:sz w:val="24"/>
              </w:rPr>
              <w:t>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2. Создание условий для эффективного, ответстве</w:t>
            </w:r>
            <w:r>
              <w:rPr>
                <w:rFonts w:ascii="Arial" w:eastAsia="Arial" w:hAnsi="Arial" w:cs="Arial"/>
                <w:sz w:val="24"/>
              </w:rPr>
              <w:t xml:space="preserve">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 бюджета  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Этапы и сроки реализации муниципальной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z w:val="24"/>
              </w:rPr>
              <w:t>C</w:t>
            </w:r>
            <w:proofErr w:type="gramEnd"/>
            <w:r>
              <w:rPr>
                <w:rFonts w:ascii="Arial" w:eastAsia="Arial" w:hAnsi="Arial" w:cs="Arial"/>
                <w:sz w:val="24"/>
              </w:rPr>
              <w:t>рок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реализации программы 2022-2024 годы</w:t>
            </w:r>
          </w:p>
          <w:p w:rsidR="00F42680" w:rsidRDefault="00F42680">
            <w:pPr>
              <w:spacing w:after="0" w:line="240" w:lineRule="auto"/>
            </w:pP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proofErr w:type="gramStart"/>
            <w:r>
              <w:rPr>
                <w:rFonts w:ascii="Arial" w:eastAsia="Arial" w:hAnsi="Arial" w:cs="Arial"/>
                <w:sz w:val="24"/>
              </w:rPr>
              <w:t>Утвержден</w:t>
            </w:r>
            <w:proofErr w:type="gramEnd"/>
            <w:r>
              <w:rPr>
                <w:rFonts w:ascii="Arial" w:eastAsia="Arial" w:hAnsi="Arial" w:cs="Arial"/>
                <w:sz w:val="24"/>
              </w:rPr>
              <w:t xml:space="preserve"> в приложении 1 к муниципальной программе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Значения целевых показателей на долг</w:t>
            </w:r>
            <w:r>
              <w:rPr>
                <w:rFonts w:ascii="Arial" w:eastAsia="Arial" w:hAnsi="Arial" w:cs="Arial"/>
                <w:sz w:val="24"/>
              </w:rPr>
              <w:t>осрочный период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proofErr w:type="gramStart"/>
            <w:r>
              <w:rPr>
                <w:rFonts w:ascii="Arial" w:eastAsia="Arial" w:hAnsi="Arial" w:cs="Arial"/>
                <w:sz w:val="24"/>
              </w:rPr>
              <w:t>Утверждены</w:t>
            </w:r>
            <w:proofErr w:type="gramEnd"/>
            <w:r>
              <w:rPr>
                <w:rFonts w:ascii="Arial" w:eastAsia="Arial" w:hAnsi="Arial" w:cs="Arial"/>
                <w:sz w:val="24"/>
              </w:rPr>
              <w:t xml:space="preserve"> в приложении 2 к  муниципальной целевой программе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Информация по ресурсному обеспечению муниципальной  программы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Общий объем бюджетных ассигнований на реализацию муниципальной программы по годам составляет 414286,2 тыс. рублей, в</w:t>
            </w:r>
            <w:r>
              <w:rPr>
                <w:rFonts w:ascii="Arial" w:eastAsia="Arial" w:hAnsi="Arial" w:cs="Arial"/>
                <w:sz w:val="24"/>
              </w:rPr>
              <w:t xml:space="preserve"> том числе: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32979,0 тыс. рублей – средства краевого  бюджета;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381307,2 тыс. рублей – средства районного бюджета.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Объем финансирования по годам реализации муниципальной программы: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138095,4 тыс. рублей, в том числе: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10993,0 </w:t>
            </w:r>
            <w:r>
              <w:rPr>
                <w:rFonts w:ascii="Arial" w:eastAsia="Arial" w:hAnsi="Arial" w:cs="Arial"/>
                <w:sz w:val="24"/>
              </w:rPr>
              <w:t>тыс. рублей – средства краевого бюджета;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127102,4 тыс. рублей - средства районного бюджета;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138095,4 тыс. рублей, в том числе: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10993,0 тыс. рублей – средства краевого бюджета;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127102,4 тыс. рублей - средства районного бюджета;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138095,</w:t>
            </w:r>
            <w:r>
              <w:rPr>
                <w:rFonts w:ascii="Arial" w:eastAsia="Arial" w:hAnsi="Arial" w:cs="Arial"/>
                <w:sz w:val="24"/>
              </w:rPr>
              <w:t>4 тыс. рублей, в том числе: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10993,0 тыс. рублей – средства краевого бюджета;</w:t>
            </w:r>
          </w:p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127102,4 тыс. рублей - средства районного бюджета;</w:t>
            </w:r>
          </w:p>
          <w:p w:rsidR="00F42680" w:rsidRDefault="00F42680">
            <w:pPr>
              <w:tabs>
                <w:tab w:val="left" w:pos="-2410"/>
              </w:tabs>
              <w:spacing w:after="0" w:line="240" w:lineRule="auto"/>
              <w:jc w:val="both"/>
            </w:pPr>
          </w:p>
        </w:tc>
      </w:tr>
    </w:tbl>
    <w:p w:rsidR="00F42680" w:rsidRDefault="00F42680">
      <w:pPr>
        <w:tabs>
          <w:tab w:val="left" w:pos="-2410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Характеристика текущего состояния в сфере управления муниципальными финансами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F42680" w:rsidRDefault="00F42680">
      <w:pPr>
        <w:tabs>
          <w:tab w:val="left" w:pos="-2410"/>
        </w:tabs>
        <w:spacing w:after="0" w:line="240" w:lineRule="auto"/>
        <w:ind w:firstLine="567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67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</w:t>
      </w:r>
      <w:r>
        <w:rPr>
          <w:rFonts w:ascii="Arial" w:eastAsia="Arial" w:hAnsi="Arial" w:cs="Arial"/>
          <w:sz w:val="24"/>
        </w:rPr>
        <w:t xml:space="preserve">ально-экономического развития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F42680" w:rsidRDefault="000520F7">
      <w:pPr>
        <w:tabs>
          <w:tab w:val="left" w:pos="-2410"/>
        </w:tabs>
        <w:spacing w:after="0" w:line="240" w:lineRule="auto"/>
        <w:ind w:firstLine="567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Муниципальная  программа имеет существенные отличия от большинства других муниципальных  программ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 Она является «обеспечивающей», то </w:t>
      </w:r>
      <w:proofErr w:type="gramStart"/>
      <w:r>
        <w:rPr>
          <w:rFonts w:ascii="Arial" w:eastAsia="Arial" w:hAnsi="Arial" w:cs="Arial"/>
          <w:sz w:val="24"/>
        </w:rPr>
        <w:t>есть</w:t>
      </w:r>
      <w:proofErr w:type="gramEnd"/>
      <w:r>
        <w:rPr>
          <w:rFonts w:ascii="Arial" w:eastAsia="Arial" w:hAnsi="Arial" w:cs="Arial"/>
          <w:sz w:val="24"/>
        </w:rPr>
        <w:t xml:space="preserve"> ориентирована (через развитие правового регул</w:t>
      </w:r>
      <w:r>
        <w:rPr>
          <w:rFonts w:ascii="Arial" w:eastAsia="Arial" w:hAnsi="Arial" w:cs="Arial"/>
          <w:sz w:val="24"/>
        </w:rPr>
        <w:t xml:space="preserve">ирования и методического обеспечения) на создание общих для всех участников бюджетного процесса, в том числе органов местного самоуправления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реализующих другие муниципальные программы, условий и механизмов их реализации.</w:t>
      </w:r>
    </w:p>
    <w:p w:rsidR="00F42680" w:rsidRDefault="000520F7">
      <w:pPr>
        <w:tabs>
          <w:tab w:val="left" w:pos="-2410"/>
        </w:tabs>
        <w:spacing w:after="0" w:line="240" w:lineRule="auto"/>
        <w:ind w:firstLine="567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Управление му</w:t>
      </w:r>
      <w:r>
        <w:rPr>
          <w:rFonts w:ascii="Arial" w:eastAsia="Arial" w:hAnsi="Arial" w:cs="Arial"/>
          <w:sz w:val="24"/>
        </w:rPr>
        <w:t xml:space="preserve">ниципальными финансами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 исторически было ориентировано на приоритеты социально-экономического развития, обозначенные на краевом и районном  уровнях.</w:t>
      </w:r>
      <w:proofErr w:type="gramEnd"/>
      <w:r>
        <w:rPr>
          <w:rFonts w:ascii="Arial" w:eastAsia="Arial" w:hAnsi="Arial" w:cs="Arial"/>
          <w:sz w:val="24"/>
        </w:rPr>
        <w:t xml:space="preserve"> В муниципальной программе отражены следующие основные направления и задачи в сфере фин</w:t>
      </w:r>
      <w:r>
        <w:rPr>
          <w:rFonts w:ascii="Arial" w:eastAsia="Arial" w:hAnsi="Arial" w:cs="Arial"/>
          <w:sz w:val="24"/>
        </w:rPr>
        <w:t>ансов: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обеспечение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задач;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развитие программно-целевых методов управления;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разви</w:t>
      </w:r>
      <w:r>
        <w:rPr>
          <w:rFonts w:ascii="Arial" w:eastAsia="Arial" w:hAnsi="Arial" w:cs="Arial"/>
          <w:sz w:val="24"/>
        </w:rPr>
        <w:t>тие межбюджетных отношений;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повышение прозрачности бюджетов и бюджетного процесса.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</w:t>
      </w:r>
      <w:proofErr w:type="spellStart"/>
      <w:r>
        <w:rPr>
          <w:rFonts w:ascii="Arial" w:eastAsia="Arial" w:hAnsi="Arial" w:cs="Arial"/>
          <w:sz w:val="24"/>
        </w:rPr>
        <w:t>вза</w:t>
      </w:r>
      <w:r>
        <w:rPr>
          <w:rFonts w:ascii="Arial" w:eastAsia="Arial" w:hAnsi="Arial" w:cs="Arial"/>
          <w:sz w:val="24"/>
        </w:rPr>
        <w:t>имоувязке</w:t>
      </w:r>
      <w:proofErr w:type="spellEnd"/>
      <w:r>
        <w:rPr>
          <w:rFonts w:ascii="Arial" w:eastAsia="Arial" w:hAnsi="Arial" w:cs="Arial"/>
          <w:sz w:val="24"/>
        </w:rPr>
        <w:t xml:space="preserve">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 услу</w:t>
      </w:r>
      <w:r>
        <w:rPr>
          <w:rFonts w:ascii="Arial" w:eastAsia="Arial" w:hAnsi="Arial" w:cs="Arial"/>
          <w:sz w:val="24"/>
        </w:rPr>
        <w:t xml:space="preserve">г не должно снижаться.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Важную роль в организации бюджетного процесса на современном этапе развития занимает система муниципального  финансового контроля,  способная своевременно выявлять и, самое главное, предотвращать бюджетные правонарушения.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На осущест</w:t>
      </w:r>
      <w:r>
        <w:rPr>
          <w:rFonts w:ascii="Arial" w:eastAsia="Arial" w:hAnsi="Arial" w:cs="Arial"/>
          <w:sz w:val="24"/>
        </w:rPr>
        <w:t>вление муниципальной  программы влияет множество экономических и социальных факторов, в связи, с чем имеются следующие риски, способные негативно повлиять на ход её реализации: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основной риск для муниципальной  программы – изменение федерального и краевого </w:t>
      </w:r>
      <w:r>
        <w:rPr>
          <w:rFonts w:ascii="Arial" w:eastAsia="Arial" w:hAnsi="Arial" w:cs="Arial"/>
          <w:sz w:val="24"/>
        </w:rPr>
        <w:t xml:space="preserve">законодательства. В первую очередь данный риск влияет на формирование межбюджетных отношений между районом и городским и сельскими поселениями. </w:t>
      </w:r>
    </w:p>
    <w:p w:rsidR="00F42680" w:rsidRDefault="000520F7">
      <w:pPr>
        <w:tabs>
          <w:tab w:val="left" w:pos="-2410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proofErr w:type="gramStart"/>
      <w:r>
        <w:rPr>
          <w:rFonts w:ascii="Arial" w:eastAsia="Arial" w:hAnsi="Arial" w:cs="Arial"/>
          <w:sz w:val="24"/>
        </w:rPr>
        <w:t>Перераспределение расходных полномочий между региональным и местными бюджетами влечет за собой необходимость пе</w:t>
      </w:r>
      <w:r>
        <w:rPr>
          <w:rFonts w:ascii="Arial" w:eastAsia="Arial" w:hAnsi="Arial" w:cs="Arial"/>
          <w:sz w:val="24"/>
        </w:rPr>
        <w:t>ресмотра распределения налоговых доходов, что не способствует построению стабильной и эффективной системы межбюджетных отношений.</w:t>
      </w:r>
      <w:proofErr w:type="gramEnd"/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color w:val="000000"/>
          <w:sz w:val="24"/>
        </w:rPr>
        <w:t xml:space="preserve">С 1 января 2018 года в силу вступили изменения в Закон Красноярского края от 10.07.2007 № 2-317 «О межбюджетных отношениях </w:t>
      </w:r>
      <w:proofErr w:type="gramStart"/>
      <w:r>
        <w:rPr>
          <w:rFonts w:ascii="Arial" w:eastAsia="Arial" w:hAnsi="Arial" w:cs="Arial"/>
          <w:color w:val="000000"/>
          <w:sz w:val="24"/>
        </w:rPr>
        <w:t>в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4"/>
        </w:rPr>
        <w:t>К</w:t>
      </w:r>
      <w:r>
        <w:rPr>
          <w:rFonts w:ascii="Arial" w:eastAsia="Arial" w:hAnsi="Arial" w:cs="Arial"/>
          <w:color w:val="000000"/>
          <w:sz w:val="24"/>
        </w:rPr>
        <w:t>расноярском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крае» в части разграничений основных доходных источников между бюджетами бюджетной системы Российской Федерации в соответствии с Бюджетным кодексом Российской Федерации, Законом края </w:t>
      </w:r>
      <w:r>
        <w:rPr>
          <w:rFonts w:ascii="Arial" w:eastAsia="Arial" w:hAnsi="Arial" w:cs="Arial"/>
          <w:color w:val="000000"/>
          <w:sz w:val="24"/>
        </w:rPr>
        <w:br/>
        <w:t>«О межбюджетных отношениях в Красноярском крае». В связи с э</w:t>
      </w:r>
      <w:r>
        <w:rPr>
          <w:rFonts w:ascii="Arial" w:eastAsia="Arial" w:hAnsi="Arial" w:cs="Arial"/>
          <w:color w:val="000000"/>
          <w:sz w:val="24"/>
        </w:rPr>
        <w:t>тим с 2018 года снижен объем налоговых доходов сельских поселений в общем объеме доходов местных бюджетов.</w:t>
      </w:r>
    </w:p>
    <w:p w:rsidR="00F42680" w:rsidRDefault="000520F7">
      <w:pPr>
        <w:tabs>
          <w:tab w:val="left" w:pos="-2410"/>
        </w:tabs>
        <w:spacing w:after="0" w:line="240" w:lineRule="auto"/>
        <w:ind w:firstLine="709"/>
        <w:jc w:val="both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4"/>
        </w:rPr>
        <w:t>Важную роль в организации бюджетного процесса на современном этапе развития занимает система муниципального финансового контроля, способная своевременно выявлять и, самое главное, предотвращать бюджетные нарушения</w:t>
      </w:r>
      <w:r>
        <w:rPr>
          <w:rFonts w:ascii="Arial" w:eastAsia="Arial" w:hAnsi="Arial" w:cs="Arial"/>
          <w:sz w:val="28"/>
        </w:rPr>
        <w:t>.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Замедление темпов экономического развития</w:t>
      </w:r>
      <w:r>
        <w:rPr>
          <w:rFonts w:ascii="Arial" w:eastAsia="Arial" w:hAnsi="Arial" w:cs="Arial"/>
          <w:sz w:val="24"/>
        </w:rPr>
        <w:t xml:space="preserve"> района ведет к  возможному  снижению поступления налоговых и неналоговых доходов в районный  бюджет и, </w:t>
      </w:r>
      <w:r>
        <w:rPr>
          <w:rFonts w:ascii="Arial" w:eastAsia="Arial" w:hAnsi="Arial" w:cs="Arial"/>
          <w:sz w:val="24"/>
        </w:rPr>
        <w:lastRenderedPageBreak/>
        <w:t>как следствие, отсутствие возможности повышения расходов районного  бюджета, в связи, с чем заданные показатели результативности могут быть невыполненны</w:t>
      </w:r>
      <w:r>
        <w:rPr>
          <w:rFonts w:ascii="Arial" w:eastAsia="Arial" w:hAnsi="Arial" w:cs="Arial"/>
          <w:sz w:val="24"/>
        </w:rPr>
        <w:t>ми.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3. Цели социально-экономического развития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spacing w:after="0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Поставленные цели и задачи программы соответствуют социально-экономическим приоритетам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 </w:t>
      </w:r>
    </w:p>
    <w:p w:rsidR="00F42680" w:rsidRDefault="000520F7">
      <w:pPr>
        <w:tabs>
          <w:tab w:val="left" w:pos="-2410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Целью муниципальной  программы является обеспечение долгосрочной сбалансированности и устойчивости</w:t>
      </w:r>
      <w:r>
        <w:rPr>
          <w:rFonts w:ascii="Arial" w:eastAsia="Arial" w:hAnsi="Arial" w:cs="Arial"/>
          <w:sz w:val="24"/>
        </w:rPr>
        <w:t xml:space="preserve"> бюджетной системы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повышение качества и прозрачности управления муниципальными финансами.</w:t>
      </w:r>
    </w:p>
    <w:p w:rsidR="00F42680" w:rsidRDefault="000520F7">
      <w:pPr>
        <w:tabs>
          <w:tab w:val="left" w:pos="-2410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Реализация муниципальной  программы направлена на достижение следующих задач:</w:t>
      </w:r>
    </w:p>
    <w:p w:rsidR="00F42680" w:rsidRDefault="000520F7">
      <w:pPr>
        <w:tabs>
          <w:tab w:val="left" w:pos="-2410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 </w:t>
      </w:r>
      <w:r>
        <w:rPr>
          <w:rFonts w:ascii="Arial" w:eastAsia="Arial" w:hAnsi="Arial" w:cs="Arial"/>
          <w:sz w:val="24"/>
        </w:rPr>
        <w:t>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2. Создание условий для эффективного, ответств</w:t>
      </w:r>
      <w:r>
        <w:rPr>
          <w:rFonts w:ascii="Arial" w:eastAsia="Arial" w:hAnsi="Arial" w:cs="Arial"/>
          <w:sz w:val="24"/>
        </w:rPr>
        <w:t>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Механизм реализации отдельных мероприятий программы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Реализация муниципальной  про</w:t>
      </w:r>
      <w:r>
        <w:rPr>
          <w:rFonts w:ascii="Arial" w:eastAsia="Arial" w:hAnsi="Arial" w:cs="Arial"/>
          <w:sz w:val="24"/>
        </w:rPr>
        <w:t xml:space="preserve">граммы требует соответствующее </w:t>
      </w:r>
      <w:proofErr w:type="gramStart"/>
      <w:r>
        <w:rPr>
          <w:rFonts w:ascii="Arial" w:eastAsia="Arial" w:hAnsi="Arial" w:cs="Arial"/>
          <w:sz w:val="24"/>
        </w:rPr>
        <w:t>нормативно-правового</w:t>
      </w:r>
      <w:proofErr w:type="gramEnd"/>
      <w:r>
        <w:rPr>
          <w:rFonts w:ascii="Arial" w:eastAsia="Arial" w:hAnsi="Arial" w:cs="Arial"/>
          <w:sz w:val="24"/>
        </w:rPr>
        <w:t xml:space="preserve"> обеспечение.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Финансовое управление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 выполняет координирующую роль при реализации программы. Механизм реализации отдельных мероприятий муниципальной  программы подробно </w:t>
      </w:r>
      <w:r>
        <w:rPr>
          <w:rFonts w:ascii="Arial" w:eastAsia="Arial" w:hAnsi="Arial" w:cs="Arial"/>
          <w:sz w:val="24"/>
        </w:rPr>
        <w:t>представлен в соответствующих подпрограммах.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Прогноз конечных результатов муниципальной  программы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Ожидаемыми результатами реализации муниципальной  программы являются следующие: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обеспечение минимального размера бюджетной обеспеченности;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рост объема </w:t>
      </w:r>
      <w:r>
        <w:rPr>
          <w:rFonts w:ascii="Arial" w:eastAsia="Arial" w:hAnsi="Arial" w:cs="Arial"/>
          <w:sz w:val="24"/>
        </w:rPr>
        <w:t xml:space="preserve">налоговых и неналоговых доходов местных бюджетов в общем объеме доходов местных бюджетов;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рост количества сельских  поселений,  в которых отдельные муниципальные  полномочия исполняются надлежащим образом;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отсутствие в местных бюджетах просроченной креди</w:t>
      </w:r>
      <w:r>
        <w:rPr>
          <w:rFonts w:ascii="Arial" w:eastAsia="Arial" w:hAnsi="Arial" w:cs="Arial"/>
          <w:sz w:val="24"/>
        </w:rPr>
        <w:t xml:space="preserve">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отсутствие в местных бюджетах просроченной кредиторской задолженности по бюджетным кредитам;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повышение доли расходо</w:t>
      </w:r>
      <w:r>
        <w:rPr>
          <w:rFonts w:ascii="Arial" w:eastAsia="Arial" w:hAnsi="Arial" w:cs="Arial"/>
          <w:sz w:val="24"/>
        </w:rPr>
        <w:t xml:space="preserve">в районного  бюджета, формируемых в рамках муниципальных программ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своевременное составление проекта районного бюджета и отчета об исполнении районного бюджета;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не превышение размера дефицита бюджета к общему годовому объему доходов </w:t>
      </w:r>
      <w:r>
        <w:rPr>
          <w:rFonts w:ascii="Arial" w:eastAsia="Arial" w:hAnsi="Arial" w:cs="Arial"/>
          <w:sz w:val="24"/>
        </w:rPr>
        <w:t xml:space="preserve">выше уровня, установленного Бюджетным кодексов Российской Федерации;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поддержание рейтинга района по качеству управления муниципальными  финансами;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обеспечение исполнения расходных обязательств района; </w:t>
      </w:r>
    </w:p>
    <w:p w:rsidR="00F42680" w:rsidRDefault="000520F7">
      <w:pPr>
        <w:spacing w:after="0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качественное планирование доходов районного бюджета; </w:t>
      </w:r>
    </w:p>
    <w:p w:rsidR="00F42680" w:rsidRDefault="000520F7">
      <w:pPr>
        <w:spacing w:after="0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повышение качества финансового менеджмента главных распорядителей бюджетных средств; </w:t>
      </w:r>
    </w:p>
    <w:p w:rsidR="00F42680" w:rsidRDefault="000520F7">
      <w:pPr>
        <w:spacing w:after="0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повышение квалификации муниципальных  служащих, работающих в финансовом управлении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</w:t>
      </w:r>
      <w:r>
        <w:rPr>
          <w:rFonts w:ascii="Arial" w:eastAsia="Arial" w:hAnsi="Arial" w:cs="Arial"/>
          <w:sz w:val="24"/>
        </w:rPr>
        <w:t xml:space="preserve">а; </w:t>
      </w:r>
    </w:p>
    <w:p w:rsidR="00F42680" w:rsidRDefault="000520F7">
      <w:pPr>
        <w:spacing w:after="0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повышение доли органов муниципальной  власти района, обеспеченных возможностью работы в информационных системах планирования и исполнения районного  бюджета;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рассмотрение на заседаниях  бюджетной комиссии районного Совета депутатов  проектов нормативн</w:t>
      </w:r>
      <w:r>
        <w:rPr>
          <w:rFonts w:ascii="Arial" w:eastAsia="Arial" w:hAnsi="Arial" w:cs="Arial"/>
          <w:sz w:val="24"/>
        </w:rPr>
        <w:t xml:space="preserve">ых правовых актов, касающихся принятия решений  о районном  бюджете, внесения в него изменений, а также отчета об исполнении районного  бюджета; </w:t>
      </w: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разработка и размещение на официальном сайте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материалов по бюджету в доступ</w:t>
      </w:r>
      <w:r>
        <w:rPr>
          <w:rFonts w:ascii="Arial" w:eastAsia="Arial" w:hAnsi="Arial" w:cs="Arial"/>
          <w:sz w:val="24"/>
        </w:rPr>
        <w:t xml:space="preserve">ной форме «Бюджет для граждан» в рубрике «Открытый бюджет». 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center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6. Перечень подпрограмм с указанием сроков их реализации и ожидаемых результатов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center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Подпрограммы с указанием сроков их реализации и ожидаемых результатов утверждены в приложениях 3-6 к муниципальной программе.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center"/>
        <w:rPr>
          <w:rFonts w:ascii="Arial" w:eastAsia="Arial" w:hAnsi="Arial" w:cs="Arial"/>
          <w:sz w:val="24"/>
        </w:rPr>
      </w:pP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center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6. Распределение расходов по отдельным мероприятиям программы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распределении планируемых расходов по отд</w:t>
      </w:r>
      <w:r>
        <w:rPr>
          <w:rFonts w:ascii="Arial" w:eastAsia="Arial" w:hAnsi="Arial" w:cs="Arial"/>
          <w:sz w:val="24"/>
        </w:rPr>
        <w:t>ельным мероприятиям муниципальной  программы, подпрограммы представлена в приложении 5.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  <w:u w:val="single"/>
        </w:rPr>
      </w:pPr>
      <w:r>
        <w:rPr>
          <w:rFonts w:ascii="Arial" w:eastAsia="Arial" w:hAnsi="Arial" w:cs="Arial"/>
          <w:sz w:val="24"/>
          <w:u w:val="single"/>
        </w:rPr>
        <w:t>7. Ресурсное обеспечение программы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0520F7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Информация о ресурсном обеспечении муниципальной программы </w:t>
      </w:r>
      <w:proofErr w:type="spellStart"/>
      <w:proofErr w:type="gramStart"/>
      <w:r>
        <w:rPr>
          <w:rFonts w:ascii="Arial" w:eastAsia="Arial" w:hAnsi="Arial" w:cs="Arial"/>
          <w:sz w:val="24"/>
        </w:rPr>
        <w:t>программы</w:t>
      </w:r>
      <w:proofErr w:type="spellEnd"/>
      <w:proofErr w:type="gramEnd"/>
      <w:r>
        <w:rPr>
          <w:rFonts w:ascii="Arial" w:eastAsia="Arial" w:hAnsi="Arial" w:cs="Arial"/>
          <w:sz w:val="24"/>
        </w:rPr>
        <w:t xml:space="preserve"> и прогнозной оценке расходов на реализацию целей муниципальной</w:t>
      </w:r>
      <w:r>
        <w:rPr>
          <w:rFonts w:ascii="Arial" w:eastAsia="Arial" w:hAnsi="Arial" w:cs="Arial"/>
          <w:sz w:val="24"/>
        </w:rPr>
        <w:t xml:space="preserve"> программы представлена в приложении 6.</w:t>
      </w: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4"/>
        </w:rPr>
      </w:pP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8"/>
        </w:rPr>
      </w:pP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8"/>
        </w:rPr>
      </w:pPr>
    </w:p>
    <w:p w:rsidR="00F42680" w:rsidRDefault="00F42680">
      <w:pPr>
        <w:tabs>
          <w:tab w:val="left" w:pos="-2410"/>
        </w:tabs>
        <w:spacing w:after="0" w:line="240" w:lineRule="auto"/>
        <w:ind w:firstLine="540"/>
        <w:jc w:val="both"/>
        <w:rPr>
          <w:rFonts w:ascii="Arial" w:eastAsia="Arial" w:hAnsi="Arial" w:cs="Arial"/>
          <w:sz w:val="28"/>
        </w:rPr>
      </w:pPr>
    </w:p>
    <w:p w:rsidR="00F42680" w:rsidRDefault="00F42680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8"/>
        </w:rPr>
      </w:pPr>
    </w:p>
    <w:p w:rsidR="000520F7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</w:t>
      </w:r>
    </w:p>
    <w:p w:rsidR="000520F7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</w:p>
    <w:p w:rsidR="000520F7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</w:p>
    <w:p w:rsidR="000520F7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</w:p>
    <w:p w:rsidR="000520F7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</w:p>
    <w:p w:rsidR="000520F7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</w:p>
    <w:p w:rsidR="000520F7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</w:p>
    <w:p w:rsidR="000520F7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</w:p>
    <w:p w:rsidR="00F42680" w:rsidRDefault="000520F7" w:rsidP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Приложение № 1</w:t>
      </w:r>
    </w:p>
    <w:p w:rsidR="00F42680" w:rsidRDefault="000520F7" w:rsidP="000520F7">
      <w:pPr>
        <w:tabs>
          <w:tab w:val="left" w:pos="-2410"/>
        </w:tabs>
        <w:spacing w:after="0" w:line="240" w:lineRule="auto"/>
        <w:ind w:left="7797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к паспорту  муниципальной программы </w:t>
      </w:r>
    </w:p>
    <w:p w:rsidR="00F42680" w:rsidRDefault="000520F7" w:rsidP="000520F7">
      <w:pPr>
        <w:tabs>
          <w:tab w:val="left" w:pos="-2410"/>
        </w:tabs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</w:t>
      </w:r>
      <w:proofErr w:type="spellStart"/>
      <w:r>
        <w:rPr>
          <w:rFonts w:ascii="Arial" w:eastAsia="Arial" w:hAnsi="Arial" w:cs="Arial"/>
          <w:sz w:val="20"/>
        </w:rPr>
        <w:t>Балахтинского</w:t>
      </w:r>
      <w:proofErr w:type="spellEnd"/>
      <w:r>
        <w:rPr>
          <w:rFonts w:ascii="Arial" w:eastAsia="Arial" w:hAnsi="Arial" w:cs="Arial"/>
          <w:sz w:val="20"/>
        </w:rPr>
        <w:t xml:space="preserve">  района</w:t>
      </w:r>
    </w:p>
    <w:p w:rsidR="00F42680" w:rsidRDefault="000520F7" w:rsidP="000520F7">
      <w:pPr>
        <w:tabs>
          <w:tab w:val="left" w:pos="-2410"/>
        </w:tabs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«Управление муниципальными  финансами»</w:t>
      </w:r>
    </w:p>
    <w:p w:rsidR="00F42680" w:rsidRDefault="00F42680">
      <w:pPr>
        <w:widowControl w:val="0"/>
        <w:spacing w:after="0" w:line="240" w:lineRule="auto"/>
        <w:ind w:left="8460"/>
        <w:rPr>
          <w:rFonts w:ascii="Arial" w:eastAsia="Arial" w:hAnsi="Arial" w:cs="Arial"/>
          <w:sz w:val="20"/>
        </w:rPr>
      </w:pPr>
    </w:p>
    <w:p w:rsidR="00F42680" w:rsidRDefault="00F42680">
      <w:pPr>
        <w:widowControl w:val="0"/>
        <w:spacing w:after="0" w:line="240" w:lineRule="auto"/>
        <w:jc w:val="right"/>
        <w:rPr>
          <w:rFonts w:ascii="Arial" w:eastAsia="Arial" w:hAnsi="Arial" w:cs="Arial"/>
          <w:sz w:val="28"/>
        </w:rPr>
      </w:pP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Перечень</w: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целевых показателей и показателей результативности программы с расшифровкой</w:t>
      </w:r>
    </w:p>
    <w:p w:rsidR="00F42680" w:rsidRDefault="000520F7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плановых значений по годам ее реализации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/>
      </w:tblPr>
      <w:tblGrid>
        <w:gridCol w:w="513"/>
        <w:gridCol w:w="1730"/>
        <w:gridCol w:w="129"/>
        <w:gridCol w:w="1101"/>
        <w:gridCol w:w="1604"/>
        <w:gridCol w:w="696"/>
        <w:gridCol w:w="696"/>
        <w:gridCol w:w="696"/>
        <w:gridCol w:w="696"/>
        <w:gridCol w:w="862"/>
        <w:gridCol w:w="702"/>
      </w:tblGrid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spacing w:after="0" w:line="240" w:lineRule="auto"/>
              <w:ind w:firstLine="720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№  </w:t>
            </w:r>
            <w:r>
              <w:rPr>
                <w:rFonts w:ascii="Arial" w:eastAsia="Arial" w:hAnsi="Arial" w:cs="Arial"/>
                <w:sz w:val="24"/>
              </w:rPr>
              <w:br/>
            </w:r>
            <w:proofErr w:type="spellStart"/>
            <w:proofErr w:type="gramStart"/>
            <w:r>
              <w:rPr>
                <w:rFonts w:ascii="Arial" w:eastAsia="Arial" w:hAnsi="Arial" w:cs="Arial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п</w:t>
            </w:r>
            <w:proofErr w:type="spellEnd"/>
          </w:p>
        </w:tc>
        <w:tc>
          <w:tcPr>
            <w:tcW w:w="28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Цели,    </w:t>
            </w:r>
            <w:r>
              <w:rPr>
                <w:rFonts w:ascii="Arial" w:eastAsia="Arial" w:hAnsi="Arial" w:cs="Arial"/>
                <w:sz w:val="24"/>
              </w:rPr>
              <w:br/>
              <w:t xml:space="preserve">задачи,   </w:t>
            </w:r>
            <w:r>
              <w:rPr>
                <w:rFonts w:ascii="Arial" w:eastAsia="Arial" w:hAnsi="Arial" w:cs="Arial"/>
                <w:sz w:val="24"/>
              </w:rPr>
              <w:br/>
            </w:r>
            <w:r>
              <w:rPr>
                <w:rFonts w:ascii="Arial" w:eastAsia="Arial" w:hAnsi="Arial" w:cs="Arial"/>
                <w:sz w:val="24"/>
              </w:rPr>
              <w:t xml:space="preserve">показатели </w:t>
            </w:r>
            <w:r>
              <w:rPr>
                <w:rFonts w:ascii="Arial" w:eastAsia="Arial" w:hAnsi="Arial" w:cs="Arial"/>
                <w:sz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Единица</w:t>
            </w:r>
            <w:r>
              <w:rPr>
                <w:rFonts w:ascii="Arial" w:eastAsia="Arial" w:hAnsi="Arial" w:cs="Arial"/>
                <w:sz w:val="24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Источник </w:t>
            </w:r>
            <w:r>
              <w:rPr>
                <w:rFonts w:ascii="Arial" w:eastAsia="Arial" w:hAnsi="Arial" w:cs="Arial"/>
                <w:sz w:val="24"/>
              </w:rPr>
              <w:br/>
              <w:t>информации</w:t>
            </w:r>
          </w:p>
        </w:tc>
        <w:tc>
          <w:tcPr>
            <w:tcW w:w="8505" w:type="dxa"/>
            <w:gridSpan w:val="6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Годы реализации программы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vMerge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6" w:type="dxa"/>
            <w:gridSpan w:val="2"/>
            <w:vMerge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0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2021 год</w:t>
            </w:r>
          </w:p>
          <w:p w:rsidR="00F42680" w:rsidRDefault="00F42680">
            <w:pPr>
              <w:spacing w:after="0" w:line="240" w:lineRule="auto"/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spacing w:after="0" w:line="240" w:lineRule="auto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</w:t>
            </w:r>
          </w:p>
          <w:p w:rsidR="00F42680" w:rsidRDefault="00F42680">
            <w:pPr>
              <w:spacing w:after="0" w:line="240" w:lineRule="auto"/>
            </w:pP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F42680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</w:rPr>
            </w:pPr>
          </w:p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F42680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</w:rPr>
            </w:pPr>
          </w:p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2024 год</w:t>
            </w:r>
          </w:p>
        </w:tc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76" w:type="dxa"/>
            <w:gridSpan w:val="2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F42680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20</w:t>
            </w:r>
            <w:r>
              <w:rPr>
                <w:rFonts w:ascii="Arial" w:eastAsia="Arial" w:hAnsi="Arial" w:cs="Arial"/>
                <w:sz w:val="24"/>
              </w:rPr>
              <w:t>25год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2030 год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F4268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94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Цель: обеспечение долгосрочной сбалансированности и устойчивости бюджетной системы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повышение качества и прозрачности управления муниципальными финансами  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F4268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94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F4268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94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Задача 2: Создание условий для эфф</w:t>
            </w:r>
            <w:r>
              <w:rPr>
                <w:rFonts w:ascii="Arial" w:eastAsia="Arial" w:hAnsi="Arial" w:cs="Arial"/>
                <w:sz w:val="24"/>
              </w:rPr>
              <w:t>ективного, ответственного и прозрачного управления финансовыми ресурсами в рамках выполнения установленных функций и полномочий, а также оптимизации и повышения эффективности расходов районного бюджета;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1.1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Минимальный размер бюджетной обеспеченности горо</w:t>
            </w:r>
            <w:r>
              <w:rPr>
                <w:rFonts w:ascii="Arial" w:eastAsia="Arial" w:hAnsi="Arial" w:cs="Arial"/>
                <w:sz w:val="24"/>
              </w:rPr>
              <w:t>дских и сельских поселений  после выравнивания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Ведомственная статистика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3,7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3,7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3,7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1.2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млн. рублей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годовой отчет об исполнении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35,8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36,3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36,9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37,1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37,9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39,8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1.3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Повышение качества финансового менеджмента главных распорядителей бюджетных средств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балл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Мониторинг 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оценки качества финансового менеджмента главных распорядителей средств районного бюджета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Не менее 3,5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Не менее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Не менее 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Не менее 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Не менее 4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1.4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Доля расходов районного  бюджета, формируемых в рамках муниципальных программ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процент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годовой </w:t>
            </w:r>
            <w:r>
              <w:rPr>
                <w:rFonts w:ascii="Arial" w:eastAsia="Arial" w:hAnsi="Arial" w:cs="Arial"/>
                <w:sz w:val="24"/>
              </w:rPr>
              <w:br/>
              <w:t>отчет об исполнении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85%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85%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90%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90%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90%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1.5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Разработка и размещение на официальном сайте администрации района путеводителя по бюджету «Бюджет для граждан» в рубрике «Открытый бюджет»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официальный сайт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1.6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Количество органов местного 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самоуправления</w:t>
            </w:r>
            <w:proofErr w:type="gramEnd"/>
            <w:r>
              <w:rPr>
                <w:rFonts w:ascii="Arial" w:eastAsia="Arial" w:hAnsi="Arial" w:cs="Arial"/>
                <w:sz w:val="24"/>
              </w:rPr>
              <w:t xml:space="preserve">  в которых отдельные муниципальные  полномочия исполняются надлежащим образом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информация об оценке качества выполнения органами местного самоуправления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14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1.7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тыс. рублей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годовой отчет об исполнении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0</w:t>
            </w:r>
          </w:p>
          <w:p w:rsidR="00F42680" w:rsidRDefault="00F42680">
            <w:pPr>
              <w:tabs>
                <w:tab w:val="left" w:pos="-2410"/>
              </w:tabs>
              <w:spacing w:after="0" w:line="240" w:lineRule="auto"/>
              <w:jc w:val="center"/>
            </w:pP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1.8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0"/>
              </w:rPr>
              <w:t>Обеспечение исполнения расходных обязательств район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а(</w:t>
            </w:r>
            <w:proofErr w:type="gramEnd"/>
            <w:r>
              <w:rPr>
                <w:rFonts w:ascii="Arial" w:eastAsia="Arial" w:hAnsi="Arial" w:cs="Arial"/>
                <w:sz w:val="20"/>
              </w:rPr>
              <w:t>за исключением безвозмездных поступлений)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годовой </w:t>
            </w:r>
            <w:r>
              <w:rPr>
                <w:rFonts w:ascii="Arial" w:eastAsia="Arial" w:hAnsi="Arial" w:cs="Arial"/>
                <w:sz w:val="24"/>
              </w:rPr>
              <w:br/>
              <w:t>отчет об исполнении бюджета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85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1.9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Доля полученных  заключений   на проекты решений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районного Совета депутатов в области бюджетной и налоговой политики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Отчетность районного Совета депутатов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1.10</w:t>
            </w:r>
          </w:p>
        </w:tc>
        <w:tc>
          <w:tcPr>
            <w:tcW w:w="28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Доля рассмотренных на комиссии при администрации района проектов нормативных правовых актов, касающихся принятия районного  бюджета, внесения в него изменений, а также утверждения отчета об его исполнении, подготавливаемых финансовым управлением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ведомственная отчетность финансового управления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100</w:t>
            </w:r>
          </w:p>
        </w:tc>
      </w:tr>
    </w:tbl>
    <w:p w:rsidR="00F42680" w:rsidRDefault="000520F7" w:rsidP="000520F7">
      <w:pPr>
        <w:widowControl w:val="0"/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Начальник финансового управления</w:t>
      </w:r>
    </w:p>
    <w:p w:rsidR="00F42680" w:rsidRDefault="000520F7" w:rsidP="000520F7">
      <w:pPr>
        <w:widowControl w:val="0"/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района                                       </w:t>
      </w:r>
      <w:r>
        <w:rPr>
          <w:rFonts w:ascii="Arial" w:eastAsia="Arial" w:hAnsi="Arial" w:cs="Arial"/>
          <w:sz w:val="24"/>
        </w:rPr>
        <w:t xml:space="preserve">    Е.Н </w:t>
      </w:r>
      <w:proofErr w:type="spellStart"/>
      <w:r>
        <w:rPr>
          <w:rFonts w:ascii="Arial" w:eastAsia="Arial" w:hAnsi="Arial" w:cs="Arial"/>
          <w:sz w:val="24"/>
        </w:rPr>
        <w:t>Купцова</w:t>
      </w:r>
      <w:proofErr w:type="spellEnd"/>
      <w:r>
        <w:rPr>
          <w:rFonts w:ascii="Arial" w:eastAsia="Arial" w:hAnsi="Arial" w:cs="Arial"/>
          <w:sz w:val="24"/>
        </w:rPr>
        <w:t xml:space="preserve">  </w:t>
      </w:r>
      <w:r>
        <w:rPr>
          <w:rFonts w:ascii="Arial" w:eastAsia="Arial" w:hAnsi="Arial" w:cs="Arial"/>
          <w:sz w:val="24"/>
        </w:rPr>
        <w:t xml:space="preserve">                                                                          </w:t>
      </w:r>
    </w:p>
    <w:p w:rsidR="00F42680" w:rsidRDefault="000520F7">
      <w:pPr>
        <w:widowControl w:val="0"/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</w:t>
      </w: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0520F7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</w:p>
    <w:p w:rsidR="00F42680" w:rsidRDefault="000520F7" w:rsidP="000520F7">
      <w:pPr>
        <w:tabs>
          <w:tab w:val="left" w:pos="-2410"/>
        </w:tabs>
        <w:spacing w:after="0" w:line="240" w:lineRule="auto"/>
        <w:jc w:val="right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Приложение № 2</w:t>
      </w:r>
    </w:p>
    <w:p w:rsidR="00F42680" w:rsidRDefault="000520F7" w:rsidP="000520F7">
      <w:pPr>
        <w:tabs>
          <w:tab w:val="left" w:pos="-2410"/>
        </w:tabs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</w:t>
      </w:r>
      <w:r>
        <w:rPr>
          <w:rFonts w:ascii="Arial" w:eastAsia="Arial" w:hAnsi="Arial" w:cs="Arial"/>
          <w:sz w:val="20"/>
        </w:rPr>
        <w:t xml:space="preserve">                             к паспорту муниципальной  программы </w:t>
      </w:r>
    </w:p>
    <w:p w:rsidR="00F42680" w:rsidRDefault="000520F7">
      <w:pPr>
        <w:tabs>
          <w:tab w:val="left" w:pos="-2410"/>
        </w:tabs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</w:t>
      </w:r>
      <w:proofErr w:type="spellStart"/>
      <w:r>
        <w:rPr>
          <w:rFonts w:ascii="Arial" w:eastAsia="Arial" w:hAnsi="Arial" w:cs="Arial"/>
          <w:sz w:val="20"/>
        </w:rPr>
        <w:t>Балахтинского</w:t>
      </w:r>
      <w:proofErr w:type="spellEnd"/>
      <w:r>
        <w:rPr>
          <w:rFonts w:ascii="Arial" w:eastAsia="Arial" w:hAnsi="Arial" w:cs="Arial"/>
          <w:sz w:val="20"/>
        </w:rPr>
        <w:t xml:space="preserve"> района</w:t>
      </w:r>
    </w:p>
    <w:p w:rsidR="00F42680" w:rsidRDefault="000520F7">
      <w:pPr>
        <w:tabs>
          <w:tab w:val="left" w:pos="-2410"/>
        </w:tabs>
        <w:spacing w:after="0" w:line="240" w:lineRule="auto"/>
        <w:ind w:left="7797"/>
        <w:jc w:val="right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«Управление муниципальными финансами»</w:t>
      </w:r>
    </w:p>
    <w:p w:rsidR="00F42680" w:rsidRDefault="000520F7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</w:t>
      </w:r>
    </w:p>
    <w:p w:rsidR="00F42680" w:rsidRDefault="000520F7">
      <w:pPr>
        <w:tabs>
          <w:tab w:val="left" w:pos="-2410"/>
        </w:tabs>
        <w:spacing w:after="0" w:line="240" w:lineRule="auto"/>
        <w:ind w:left="7797"/>
        <w:jc w:val="center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</w:t>
      </w:r>
    </w:p>
    <w:p w:rsidR="00F42680" w:rsidRDefault="00F42680">
      <w:pPr>
        <w:widowControl w:val="0"/>
        <w:spacing w:after="0" w:line="240" w:lineRule="auto"/>
        <w:ind w:left="8505"/>
        <w:rPr>
          <w:rFonts w:ascii="Arial" w:eastAsia="Arial" w:hAnsi="Arial" w:cs="Arial"/>
          <w:sz w:val="28"/>
        </w:rPr>
      </w:pPr>
    </w:p>
    <w:p w:rsidR="00F42680" w:rsidRDefault="000520F7">
      <w:pPr>
        <w:widowControl w:val="0"/>
        <w:spacing w:after="0" w:line="240" w:lineRule="auto"/>
        <w:ind w:firstLine="540"/>
        <w:jc w:val="center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Значения целевых показателей на долгосрочный период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/>
      </w:tblPr>
      <w:tblGrid>
        <w:gridCol w:w="334"/>
        <w:gridCol w:w="1195"/>
        <w:gridCol w:w="844"/>
        <w:gridCol w:w="547"/>
        <w:gridCol w:w="662"/>
        <w:gridCol w:w="547"/>
        <w:gridCol w:w="663"/>
        <w:gridCol w:w="548"/>
        <w:gridCol w:w="548"/>
        <w:gridCol w:w="548"/>
        <w:gridCol w:w="548"/>
        <w:gridCol w:w="663"/>
        <w:gridCol w:w="548"/>
        <w:gridCol w:w="548"/>
        <w:gridCol w:w="548"/>
        <w:gridCol w:w="144"/>
      </w:tblGrid>
      <w:tr w:rsidR="00F42680">
        <w:tblPrEx>
          <w:tblCellMar>
            <w:top w:w="0" w:type="dxa"/>
            <w:bottom w:w="0" w:type="dxa"/>
          </w:tblCellMar>
        </w:tblPrEx>
        <w:trPr>
          <w:gridAfter w:val="1"/>
          <w:wAfter w:w="1163" w:type="dxa"/>
          <w:cantSplit/>
          <w:trHeight w:val="546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№ </w:t>
            </w:r>
            <w:r>
              <w:rPr>
                <w:rFonts w:ascii="Arial" w:eastAsia="Arial" w:hAnsi="Arial" w:cs="Arial"/>
                <w:sz w:val="24"/>
              </w:rPr>
              <w:br/>
            </w:r>
            <w:proofErr w:type="spellStart"/>
            <w:proofErr w:type="gramStart"/>
            <w:r>
              <w:rPr>
                <w:rFonts w:ascii="Arial" w:eastAsia="Arial" w:hAnsi="Arial" w:cs="Arial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Цели,  </w:t>
            </w:r>
            <w:r>
              <w:rPr>
                <w:rFonts w:ascii="Arial" w:eastAsia="Arial" w:hAnsi="Arial" w:cs="Arial"/>
                <w:sz w:val="24"/>
              </w:rPr>
              <w:br/>
              <w:t xml:space="preserve">целевые </w:t>
            </w:r>
            <w:r>
              <w:rPr>
                <w:rFonts w:ascii="Arial" w:eastAsia="Arial" w:hAnsi="Arial" w:cs="Arial"/>
                <w:sz w:val="24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Единица </w:t>
            </w:r>
            <w:r>
              <w:rPr>
                <w:rFonts w:ascii="Arial" w:eastAsia="Arial" w:hAnsi="Arial" w:cs="Arial"/>
                <w:sz w:val="24"/>
              </w:rPr>
              <w:br/>
            </w:r>
            <w:r>
              <w:rPr>
                <w:rFonts w:ascii="Arial" w:eastAsia="Arial" w:hAnsi="Arial" w:cs="Arial"/>
                <w:sz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2021 год</w:t>
            </w:r>
          </w:p>
        </w:tc>
        <w:tc>
          <w:tcPr>
            <w:tcW w:w="2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Плановый период</w:t>
            </w:r>
          </w:p>
        </w:tc>
        <w:tc>
          <w:tcPr>
            <w:tcW w:w="82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Долгосрочный период по годам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gridAfter w:val="1"/>
          <w:wAfter w:w="1163" w:type="dxa"/>
          <w:cantSplit/>
          <w:trHeight w:val="240"/>
        </w:trPr>
        <w:tc>
          <w:tcPr>
            <w:tcW w:w="709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F42680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2022год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2024год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2025 год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2026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2027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2028</w:t>
            </w:r>
          </w:p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2029год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2030 год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2031 год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2032 год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gridAfter w:val="1"/>
          <w:wAfter w:w="1163" w:type="dxa"/>
          <w:cantSplit/>
          <w:trHeight w:val="240"/>
        </w:trPr>
        <w:tc>
          <w:tcPr>
            <w:tcW w:w="709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1.</w:t>
            </w:r>
          </w:p>
        </w:tc>
        <w:tc>
          <w:tcPr>
            <w:tcW w:w="15160" w:type="dxa"/>
            <w:gridSpan w:val="14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Цель: обеспечение долгосрочной сбалансированности и устойчивости бюджетной системы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повышение качества и прозрачности управления муниципальными финансами  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Минимальный размер бюджетной обеспеченности поселений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тыс. 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 Не менее 3,7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 Не менее 3,7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3,7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3,7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Не менее 4,0</w:t>
            </w:r>
          </w:p>
        </w:tc>
        <w:tc>
          <w:tcPr>
            <w:tcW w:w="116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F42680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gridAfter w:val="1"/>
          <w:wAfter w:w="1163" w:type="dxa"/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1.2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тыс. 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35,8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36,9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37,1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37,9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38,6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39,4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39,6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39,7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39,8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39,9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40,0</w:t>
            </w:r>
          </w:p>
        </w:tc>
      </w:tr>
      <w:tr w:rsidR="00F42680">
        <w:tblPrEx>
          <w:tblCellMar>
            <w:top w:w="0" w:type="dxa"/>
            <w:bottom w:w="0" w:type="dxa"/>
          </w:tblCellMar>
        </w:tblPrEx>
        <w:trPr>
          <w:gridAfter w:val="1"/>
          <w:wAfter w:w="1163" w:type="dxa"/>
          <w:cantSplit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lastRenderedPageBreak/>
              <w:t>1.3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Доля расходов районного бюджета, формируемых в рамках муниципальных программ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процент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85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85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не менее 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tabs>
                <w:tab w:val="left" w:pos="-2410"/>
              </w:tabs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>не менее 90</w:t>
            </w:r>
          </w:p>
        </w:tc>
      </w:tr>
    </w:tbl>
    <w:p w:rsidR="00F42680" w:rsidRDefault="00F42680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0"/>
        </w:rPr>
      </w:pPr>
    </w:p>
    <w:p w:rsidR="00F42680" w:rsidRDefault="000520F7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Начальник финансового управления</w:t>
      </w:r>
    </w:p>
    <w:p w:rsidR="00F42680" w:rsidRDefault="000520F7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администрации </w:t>
      </w:r>
      <w:proofErr w:type="spellStart"/>
      <w:r>
        <w:rPr>
          <w:rFonts w:ascii="Arial" w:eastAsia="Arial" w:hAnsi="Arial" w:cs="Arial"/>
          <w:sz w:val="20"/>
        </w:rPr>
        <w:t>Балахтинского</w:t>
      </w:r>
      <w:proofErr w:type="spellEnd"/>
      <w:r>
        <w:rPr>
          <w:rFonts w:ascii="Arial" w:eastAsia="Arial" w:hAnsi="Arial" w:cs="Arial"/>
          <w:sz w:val="20"/>
        </w:rPr>
        <w:t xml:space="preserve"> района                                                        Е.Н </w:t>
      </w:r>
      <w:proofErr w:type="spellStart"/>
      <w:r>
        <w:rPr>
          <w:rFonts w:ascii="Arial" w:eastAsia="Arial" w:hAnsi="Arial" w:cs="Arial"/>
          <w:sz w:val="20"/>
        </w:rPr>
        <w:t>Купцова</w:t>
      </w:r>
      <w:proofErr w:type="spellEnd"/>
    </w:p>
    <w:p w:rsidR="00F42680" w:rsidRDefault="000520F7">
      <w:pPr>
        <w:widowControl w:val="0"/>
        <w:spacing w:after="0" w:line="240" w:lineRule="auto"/>
        <w:ind w:left="4820" w:firstLine="720"/>
        <w:rPr>
          <w:rFonts w:ascii="Calibri" w:eastAsia="Calibri" w:hAnsi="Calibri" w:cs="Calibri"/>
        </w:rPr>
      </w:pPr>
      <w:r>
        <w:rPr>
          <w:rFonts w:ascii="Arial" w:eastAsia="Arial" w:hAnsi="Arial" w:cs="Arial"/>
          <w:sz w:val="20"/>
        </w:rPr>
        <w:t xml:space="preserve">                          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/>
      </w:tblPr>
      <w:tblGrid>
        <w:gridCol w:w="492"/>
        <w:gridCol w:w="3185"/>
        <w:gridCol w:w="1119"/>
        <w:gridCol w:w="1874"/>
        <w:gridCol w:w="651"/>
        <w:gridCol w:w="704"/>
        <w:gridCol w:w="705"/>
        <w:gridCol w:w="705"/>
      </w:tblGrid>
      <w:tr w:rsidR="00F4268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тыс. рублей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F42680" w:rsidRDefault="000520F7">
            <w:pPr>
              <w:widowControl w:val="0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4"/>
              </w:rPr>
              <w:t>0</w:t>
            </w:r>
          </w:p>
        </w:tc>
      </w:tr>
    </w:tbl>
    <w:p w:rsidR="00F42680" w:rsidRDefault="000520F7">
      <w:pPr>
        <w:widowControl w:val="0"/>
        <w:spacing w:after="0" w:line="24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sz w:val="28"/>
        </w:rPr>
        <w:t xml:space="preserve">Начальник финансового управления администрации </w:t>
      </w:r>
      <w:proofErr w:type="spellStart"/>
      <w:r>
        <w:rPr>
          <w:rFonts w:ascii="Arial" w:eastAsia="Arial" w:hAnsi="Arial" w:cs="Arial"/>
          <w:sz w:val="28"/>
        </w:rPr>
        <w:t>Балахтинского</w:t>
      </w:r>
      <w:proofErr w:type="spellEnd"/>
      <w:r>
        <w:rPr>
          <w:rFonts w:ascii="Arial" w:eastAsia="Arial" w:hAnsi="Arial" w:cs="Arial"/>
          <w:sz w:val="28"/>
        </w:rPr>
        <w:t xml:space="preserve"> района                                       Е.Н </w:t>
      </w:r>
      <w:proofErr w:type="spellStart"/>
      <w:r>
        <w:rPr>
          <w:rFonts w:ascii="Arial" w:eastAsia="Arial" w:hAnsi="Arial" w:cs="Arial"/>
          <w:sz w:val="28"/>
        </w:rPr>
        <w:t>Купцова</w:t>
      </w:r>
      <w:proofErr w:type="spellEnd"/>
      <w:r>
        <w:rPr>
          <w:rFonts w:ascii="Arial" w:eastAsia="Arial" w:hAnsi="Arial" w:cs="Arial"/>
          <w:sz w:val="28"/>
        </w:rPr>
        <w:t xml:space="preserve">                                                        </w:t>
      </w:r>
    </w:p>
    <w:p w:rsidR="00F42680" w:rsidRDefault="00F42680">
      <w:pPr>
        <w:widowControl w:val="0"/>
        <w:spacing w:after="0" w:line="240" w:lineRule="auto"/>
        <w:rPr>
          <w:rFonts w:ascii="Arial" w:eastAsia="Arial" w:hAnsi="Arial" w:cs="Arial"/>
          <w:sz w:val="28"/>
        </w:rPr>
      </w:pPr>
    </w:p>
    <w:p w:rsidR="00F42680" w:rsidRDefault="00F42680">
      <w:pPr>
        <w:widowControl w:val="0"/>
        <w:spacing w:after="0" w:line="240" w:lineRule="auto"/>
        <w:rPr>
          <w:rFonts w:ascii="Calibri" w:eastAsia="Calibri" w:hAnsi="Calibri" w:cs="Calibri"/>
        </w:rPr>
      </w:pPr>
    </w:p>
    <w:sectPr w:rsidR="00F42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2680"/>
    <w:rsid w:val="000520F7"/>
    <w:rsid w:val="00E44246"/>
    <w:rsid w:val="00F4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2843</Words>
  <Characters>16208</Characters>
  <Application>Microsoft Office Word</Application>
  <DocSecurity>0</DocSecurity>
  <Lines>135</Lines>
  <Paragraphs>38</Paragraphs>
  <ScaleCrop>false</ScaleCrop>
  <Company>Microsoft</Company>
  <LinksUpToDate>false</LinksUpToDate>
  <CharactersWithSpaces>19013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3</cp:revision>
  <dcterms:created xsi:type="dcterms:W3CDTF">2021-11-14T02:31:00Z</dcterms:created>
  <dcterms:modified xsi:type="dcterms:W3CDTF">2021-11-14T02:34:00Z</dcterms:modified>
</cp:coreProperties>
</file>