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1BCF6BF4" w14:textId="3728AEEF" w:rsidR="007F7CA7" w:rsidRPr="00014430" w:rsidRDefault="007F7CA7" w:rsidP="0001443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7A1392">
        <w:rPr>
          <w:rFonts w:ascii="Times New Roman" w:hAnsi="Times New Roman"/>
          <w:b/>
          <w:iCs/>
          <w:sz w:val="26"/>
          <w:szCs w:val="26"/>
        </w:rPr>
        <w:t>Тюльковского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7A1392">
        <w:rPr>
          <w:rFonts w:ascii="Times New Roman" w:hAnsi="Times New Roman"/>
          <w:b/>
          <w:iCs/>
          <w:sz w:val="26"/>
          <w:szCs w:val="26"/>
        </w:rPr>
        <w:t>Тюльковского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7F6D3F49" w14:textId="288CD1C5" w:rsidR="007F7CA7" w:rsidRDefault="007F7CA7" w:rsidP="007A139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70E3BBDF" w14:textId="08C59FB6" w:rsidR="00914D62" w:rsidRPr="00970A02" w:rsidRDefault="00914D62" w:rsidP="00914D6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70A02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="007A1392" w:rsidRPr="007A1392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статьями 153,157,185,187 Бюджетного кодекса Российской Федерации, руководствуясь 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</w:t>
      </w:r>
      <w:proofErr w:type="spellStart"/>
      <w:r w:rsidR="007A1392" w:rsidRPr="007A1392">
        <w:rPr>
          <w:rFonts w:ascii="Times New Roman" w:hAnsi="Times New Roman"/>
          <w:bCs/>
          <w:iCs/>
          <w:sz w:val="26"/>
          <w:szCs w:val="26"/>
        </w:rPr>
        <w:t>Тюльковском</w:t>
      </w:r>
      <w:proofErr w:type="spellEnd"/>
      <w:r w:rsidR="007A1392" w:rsidRPr="007A1392">
        <w:rPr>
          <w:rFonts w:ascii="Times New Roman" w:hAnsi="Times New Roman"/>
          <w:bCs/>
          <w:iCs/>
          <w:sz w:val="26"/>
          <w:szCs w:val="26"/>
        </w:rPr>
        <w:t xml:space="preserve">  сельсовете», утвержденного решением Тюльковского сельского Совета депутатов от 06.05.2020 № 40-132р  и другими нормативными правовыми документами, Контрольно-счетным органом Балахтинского района проведена экспертиза  проекта решения «О бюджете Тюльковского сельсовета на 202</w:t>
      </w:r>
      <w:r w:rsidR="007A1392">
        <w:rPr>
          <w:rFonts w:ascii="Times New Roman" w:hAnsi="Times New Roman"/>
          <w:bCs/>
          <w:iCs/>
          <w:sz w:val="26"/>
          <w:szCs w:val="26"/>
        </w:rPr>
        <w:t>4</w:t>
      </w:r>
      <w:r w:rsidR="007A1392" w:rsidRPr="007A1392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 w:rsidR="007A1392">
        <w:rPr>
          <w:rFonts w:ascii="Times New Roman" w:hAnsi="Times New Roman"/>
          <w:bCs/>
          <w:iCs/>
          <w:sz w:val="26"/>
          <w:szCs w:val="26"/>
        </w:rPr>
        <w:t>5</w:t>
      </w:r>
      <w:r w:rsidR="007A1392" w:rsidRPr="007A1392">
        <w:rPr>
          <w:rFonts w:ascii="Times New Roman" w:hAnsi="Times New Roman"/>
          <w:bCs/>
          <w:iCs/>
          <w:sz w:val="26"/>
          <w:szCs w:val="26"/>
        </w:rPr>
        <w:t>-202</w:t>
      </w:r>
      <w:r w:rsidR="007A1392">
        <w:rPr>
          <w:rFonts w:ascii="Times New Roman" w:hAnsi="Times New Roman"/>
          <w:bCs/>
          <w:iCs/>
          <w:sz w:val="26"/>
          <w:szCs w:val="26"/>
        </w:rPr>
        <w:t>6</w:t>
      </w:r>
      <w:r w:rsidR="007A1392" w:rsidRPr="007A1392">
        <w:rPr>
          <w:rFonts w:ascii="Times New Roman" w:hAnsi="Times New Roman"/>
          <w:bCs/>
          <w:iCs/>
          <w:sz w:val="26"/>
          <w:szCs w:val="26"/>
        </w:rPr>
        <w:t xml:space="preserve"> годов» (далее – проект бюджета, проект решения) о соответствии требованиям бюджетного законодательства.</w:t>
      </w:r>
    </w:p>
    <w:p w14:paraId="46B0242D" w14:textId="2BFB3C8A" w:rsidR="00D45F02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A1392">
        <w:rPr>
          <w:rFonts w:ascii="Times New Roman" w:hAnsi="Times New Roman"/>
          <w:bCs/>
          <w:iCs/>
          <w:sz w:val="26"/>
          <w:szCs w:val="26"/>
        </w:rPr>
        <w:t>Тюльковского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A1392">
        <w:rPr>
          <w:rFonts w:ascii="Times New Roman" w:hAnsi="Times New Roman"/>
          <w:bCs/>
          <w:iCs/>
          <w:sz w:val="26"/>
          <w:szCs w:val="26"/>
        </w:rPr>
        <w:t>Тюльковский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14D62">
        <w:rPr>
          <w:rFonts w:ascii="Times New Roman" w:hAnsi="Times New Roman"/>
          <w:bCs/>
          <w:iCs/>
          <w:sz w:val="26"/>
          <w:szCs w:val="26"/>
        </w:rPr>
        <w:t xml:space="preserve">сельский </w:t>
      </w:r>
      <w:r w:rsidR="00D45F02">
        <w:rPr>
          <w:rFonts w:ascii="Times New Roman" w:hAnsi="Times New Roman"/>
          <w:bCs/>
          <w:iCs/>
          <w:sz w:val="26"/>
          <w:szCs w:val="26"/>
        </w:rPr>
        <w:t>Совет депутатов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2FDD02E1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014430">
        <w:rPr>
          <w:rFonts w:ascii="Times New Roman" w:hAnsi="Times New Roman"/>
          <w:bCs/>
          <w:iCs/>
          <w:sz w:val="26"/>
          <w:szCs w:val="26"/>
        </w:rPr>
        <w:t>Тюльковского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lastRenderedPageBreak/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1BDBFED5" w14:textId="38E3A27D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2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Pr="00CB128A">
        <w:rPr>
          <w:rFonts w:ascii="Times New Roman" w:hAnsi="Times New Roman"/>
          <w:bCs/>
          <w:iCs/>
          <w:sz w:val="26"/>
          <w:szCs w:val="26"/>
        </w:rPr>
        <w:t>Состав Проекта, документы и материалы к нему</w:t>
      </w:r>
      <w:r w:rsidR="005E0DD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не </w:t>
      </w:r>
      <w:r w:rsidRPr="00CB128A">
        <w:rPr>
          <w:rFonts w:ascii="Times New Roman" w:hAnsi="Times New Roman"/>
          <w:bCs/>
          <w:iCs/>
          <w:sz w:val="26"/>
          <w:szCs w:val="26"/>
        </w:rPr>
        <w:t xml:space="preserve">в полном объеме соответствуют требованиям бюджетного законодательства (ст. 184.2 БК РФ). </w:t>
      </w:r>
      <w:r w:rsidR="00A81D43">
        <w:rPr>
          <w:rFonts w:ascii="Times New Roman" w:hAnsi="Times New Roman"/>
          <w:bCs/>
          <w:iCs/>
          <w:sz w:val="26"/>
          <w:szCs w:val="26"/>
        </w:rPr>
        <w:t>Отсутствует предварительные и ожидаемые итоги социально-экономического развития</w:t>
      </w:r>
      <w:r w:rsidR="00BB3986">
        <w:rPr>
          <w:rFonts w:ascii="Times New Roman" w:hAnsi="Times New Roman"/>
          <w:bCs/>
          <w:iCs/>
          <w:sz w:val="26"/>
          <w:szCs w:val="26"/>
        </w:rPr>
        <w:t>.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61CC0226" w14:textId="1771CE82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3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2F591CCB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4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В соответствии с требованиями п.4 ст.169 БК РФ и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Положени</w:t>
      </w:r>
      <w:r w:rsidR="00A81D43">
        <w:rPr>
          <w:rFonts w:ascii="Times New Roman" w:hAnsi="Times New Roman"/>
          <w:bCs/>
          <w:iCs/>
          <w:sz w:val="26"/>
          <w:szCs w:val="26"/>
        </w:rPr>
        <w:t>ем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3A84687A" w14:textId="25FD1497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п.5 ст.107</w:t>
      </w:r>
      <w:r w:rsidR="00D45F02">
        <w:rPr>
          <w:rFonts w:ascii="Times New Roman" w:hAnsi="Times New Roman"/>
          <w:bCs/>
          <w:iCs/>
          <w:sz w:val="26"/>
          <w:szCs w:val="26"/>
        </w:rPr>
        <w:t>-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B68A3">
        <w:rPr>
          <w:rFonts w:ascii="Times New Roman" w:hAnsi="Times New Roman"/>
          <w:bCs/>
          <w:iCs/>
          <w:sz w:val="26"/>
          <w:szCs w:val="26"/>
        </w:rPr>
        <w:t>- ст.81 – размер резервного фонда;</w:t>
      </w:r>
    </w:p>
    <w:p w14:paraId="31B2887C" w14:textId="745CB4D2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п.5 ст.179.4 – объем бюджетных ассигнований дорожного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51239A8F" w14:textId="5FF3EA32" w:rsidR="00412627" w:rsidRPr="00AD47A5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>2025-2026гг</w:t>
      </w:r>
      <w:r w:rsidR="007435B7">
        <w:rPr>
          <w:rFonts w:ascii="Times New Roman" w:hAnsi="Times New Roman"/>
          <w:bCs/>
          <w:iCs/>
          <w:sz w:val="26"/>
          <w:szCs w:val="26"/>
        </w:rPr>
        <w:t>.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37D60E58" w14:textId="2C520942" w:rsidR="002775D6" w:rsidRDefault="00B1602D" w:rsidP="00BB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235594"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</w:t>
      </w:r>
      <w:r w:rsidR="00E459A8">
        <w:rPr>
          <w:rFonts w:ascii="Times New Roman" w:hAnsi="Times New Roman"/>
          <w:bCs/>
          <w:iCs/>
          <w:sz w:val="26"/>
          <w:szCs w:val="26"/>
        </w:rPr>
        <w:t xml:space="preserve">данных 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муниципальных программ, </w:t>
      </w:r>
      <w:r w:rsidR="00BB68A3">
        <w:rPr>
          <w:rFonts w:ascii="Times New Roman" w:eastAsiaTheme="minorHAnsi" w:hAnsi="Times New Roman"/>
          <w:sz w:val="26"/>
          <w:szCs w:val="26"/>
          <w:lang w:eastAsia="en-US"/>
        </w:rPr>
        <w:t>основных направлениях бюджетной и налоговой политики</w:t>
      </w:r>
      <w:r w:rsidR="00C811D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 прогнозе социально-экономического развития</w:t>
      </w:r>
      <w:r w:rsidR="00C86900">
        <w:rPr>
          <w:rFonts w:ascii="Times New Roman" w:hAnsi="Times New Roman"/>
          <w:bCs/>
          <w:iCs/>
          <w:sz w:val="26"/>
          <w:szCs w:val="26"/>
        </w:rPr>
        <w:t xml:space="preserve"> (далее - прогноз СЭР)</w:t>
      </w:r>
      <w:r w:rsidR="0035754B">
        <w:rPr>
          <w:rFonts w:ascii="Times New Roman" w:hAnsi="Times New Roman"/>
          <w:bCs/>
          <w:iCs/>
          <w:sz w:val="26"/>
          <w:szCs w:val="26"/>
        </w:rPr>
        <w:t>.</w:t>
      </w:r>
    </w:p>
    <w:p w14:paraId="46451BFD" w14:textId="5C1D741B" w:rsidR="005E0DD3" w:rsidRPr="009E4692" w:rsidRDefault="002775D6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095EB2" w:rsidRPr="009E4692">
        <w:rPr>
          <w:rFonts w:ascii="Times New Roman" w:hAnsi="Times New Roman"/>
          <w:bCs/>
          <w:iCs/>
          <w:sz w:val="26"/>
          <w:szCs w:val="26"/>
        </w:rPr>
        <w:t xml:space="preserve">связи с отсутствием </w:t>
      </w:r>
      <w:r w:rsidR="0035754B" w:rsidRPr="009E4692">
        <w:rPr>
          <w:rFonts w:ascii="Times New Roman" w:hAnsi="Times New Roman"/>
          <w:bCs/>
          <w:iCs/>
          <w:sz w:val="26"/>
          <w:szCs w:val="26"/>
        </w:rPr>
        <w:t xml:space="preserve">ожидаемых </w:t>
      </w:r>
      <w:r w:rsidRPr="009E4692">
        <w:rPr>
          <w:rFonts w:ascii="Times New Roman" w:hAnsi="Times New Roman"/>
          <w:bCs/>
          <w:iCs/>
          <w:sz w:val="26"/>
          <w:szCs w:val="26"/>
        </w:rPr>
        <w:t>итог</w:t>
      </w:r>
      <w:r w:rsidR="00095EB2" w:rsidRPr="009E4692">
        <w:rPr>
          <w:rFonts w:ascii="Times New Roman" w:hAnsi="Times New Roman"/>
          <w:bCs/>
          <w:iCs/>
          <w:sz w:val="26"/>
          <w:szCs w:val="26"/>
        </w:rPr>
        <w:t>ов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социально-экономического развития соответствующей территории отследить динамику изменений не предоставляется возможным</w:t>
      </w:r>
      <w:bookmarkStart w:id="0" w:name="_Hlk151450454"/>
      <w:r w:rsidR="00694545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2E30A960" w14:textId="08FE26FC" w:rsidR="00B53A39" w:rsidRPr="009E4692" w:rsidRDefault="00B53A39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Результатов оценки налоговых расходов нет. При формировании основных направлений бюджетной и налоговой политики в нарушение ст. 172 БК РФ не отражена информация об оценке ставок и льгот по местным налогам.</w:t>
      </w:r>
    </w:p>
    <w:p w14:paraId="5F4FFEA7" w14:textId="77777777" w:rsidR="00694545" w:rsidRPr="009E4692" w:rsidRDefault="00694545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bookmarkEnd w:id="0"/>
    <w:p w14:paraId="678E91FC" w14:textId="56BF0974" w:rsidR="00A9630E" w:rsidRPr="009E4692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3.</w:t>
      </w:r>
      <w:r w:rsidRPr="009E4692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E0333A" w:rsidRPr="009E4692">
        <w:rPr>
          <w:rFonts w:ascii="Times New Roman" w:hAnsi="Times New Roman"/>
          <w:b/>
          <w:iCs/>
          <w:sz w:val="26"/>
          <w:szCs w:val="26"/>
        </w:rPr>
        <w:t>Тюльковского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4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5</w:t>
      </w:r>
      <w:r w:rsidRPr="009E4692">
        <w:rPr>
          <w:rFonts w:ascii="Times New Roman" w:hAnsi="Times New Roman"/>
          <w:b/>
          <w:iCs/>
          <w:sz w:val="26"/>
          <w:szCs w:val="26"/>
        </w:rPr>
        <w:t>-202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6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683AE7CB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 w:rsidRPr="009E4692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9E4692">
        <w:rPr>
          <w:rFonts w:ascii="Times New Roman" w:hAnsi="Times New Roman"/>
          <w:bCs/>
          <w:iCs/>
          <w:sz w:val="26"/>
          <w:szCs w:val="26"/>
        </w:rPr>
        <w:t>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сформирован бездефицитный</w:t>
      </w:r>
      <w:r w:rsidR="00924A60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2A4A27C0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D32EC7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E0333A" w:rsidRPr="009E4692">
        <w:rPr>
          <w:rFonts w:ascii="Times New Roman" w:hAnsi="Times New Roman"/>
          <w:bCs/>
          <w:iCs/>
          <w:sz w:val="26"/>
          <w:szCs w:val="26"/>
        </w:rPr>
        <w:t>9539,3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583C06BF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9E4692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32EC7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E0333A" w:rsidRPr="009E4692">
        <w:rPr>
          <w:rFonts w:ascii="Times New Roman" w:hAnsi="Times New Roman"/>
          <w:bCs/>
          <w:iCs/>
          <w:sz w:val="26"/>
          <w:szCs w:val="26"/>
        </w:rPr>
        <w:t>8535,0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55233196" w14:textId="2FF89003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9E4692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32EC7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E0333A" w:rsidRPr="009E4692">
        <w:rPr>
          <w:rFonts w:ascii="Times New Roman" w:hAnsi="Times New Roman"/>
          <w:bCs/>
          <w:iCs/>
          <w:sz w:val="26"/>
          <w:szCs w:val="26"/>
        </w:rPr>
        <w:t>8332,5</w:t>
      </w:r>
      <w:r w:rsidRPr="009E4692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23659620" w14:textId="33BE9DD3" w:rsidR="007B25A2" w:rsidRPr="009E469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 w:rsidRPr="009E4692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9E4692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 w:rsidRPr="009E4692">
        <w:rPr>
          <w:rFonts w:ascii="Times New Roman" w:hAnsi="Times New Roman"/>
          <w:bCs/>
          <w:iCs/>
          <w:sz w:val="26"/>
          <w:szCs w:val="26"/>
        </w:rPr>
        <w:t xml:space="preserve">я в соответствии с заключёнными </w:t>
      </w:r>
      <w:r w:rsidR="000E545D" w:rsidRPr="009E4692">
        <w:rPr>
          <w:rFonts w:ascii="Times New Roman" w:hAnsi="Times New Roman"/>
          <w:bCs/>
          <w:iCs/>
          <w:sz w:val="26"/>
          <w:szCs w:val="26"/>
        </w:rPr>
        <w:t>соглашениями</w:t>
      </w:r>
      <w:r w:rsidR="00696995" w:rsidRPr="009E4692">
        <w:rPr>
          <w:rFonts w:ascii="Times New Roman" w:hAnsi="Times New Roman"/>
          <w:bCs/>
          <w:iCs/>
          <w:sz w:val="26"/>
          <w:szCs w:val="26"/>
        </w:rPr>
        <w:t xml:space="preserve"> указанных в статье 1</w:t>
      </w:r>
      <w:r w:rsidR="00937960" w:rsidRPr="009E4692">
        <w:rPr>
          <w:rFonts w:ascii="Times New Roman" w:hAnsi="Times New Roman"/>
          <w:bCs/>
          <w:iCs/>
          <w:sz w:val="26"/>
          <w:szCs w:val="26"/>
        </w:rPr>
        <w:t>0</w:t>
      </w:r>
      <w:r w:rsidR="00696995" w:rsidRPr="009E4692">
        <w:rPr>
          <w:rFonts w:ascii="Times New Roman" w:hAnsi="Times New Roman"/>
          <w:bCs/>
          <w:iCs/>
          <w:sz w:val="26"/>
          <w:szCs w:val="26"/>
        </w:rPr>
        <w:t xml:space="preserve"> проекта решения, не соответствуют наименованиям межбюджетных трансфертов ведомственной структуры расходов бюджета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33DAC" w:rsidRPr="009E4692">
        <w:rPr>
          <w:rFonts w:ascii="Times New Roman" w:hAnsi="Times New Roman"/>
          <w:bCs/>
          <w:iCs/>
          <w:sz w:val="26"/>
          <w:szCs w:val="26"/>
        </w:rPr>
        <w:t>(</w:t>
      </w:r>
      <w:r w:rsidRPr="009E4692">
        <w:rPr>
          <w:rFonts w:ascii="Times New Roman" w:hAnsi="Times New Roman"/>
          <w:bCs/>
          <w:iCs/>
          <w:sz w:val="26"/>
          <w:szCs w:val="26"/>
        </w:rPr>
        <w:t>приложени</w:t>
      </w:r>
      <w:r w:rsidR="000B0525" w:rsidRPr="009E4692">
        <w:rPr>
          <w:rFonts w:ascii="Times New Roman" w:hAnsi="Times New Roman"/>
          <w:bCs/>
          <w:iCs/>
          <w:sz w:val="26"/>
          <w:szCs w:val="26"/>
        </w:rPr>
        <w:t>я 4,</w:t>
      </w:r>
      <w:r w:rsidR="00696995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A3949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933DAC" w:rsidRPr="009E4692">
        <w:rPr>
          <w:rFonts w:ascii="Times New Roman" w:hAnsi="Times New Roman"/>
          <w:bCs/>
          <w:iCs/>
          <w:sz w:val="26"/>
          <w:szCs w:val="26"/>
        </w:rPr>
        <w:t>).</w:t>
      </w:r>
      <w:r w:rsidR="00696995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1D010EAA" w14:textId="77777777" w:rsidR="00E82D5F" w:rsidRPr="009E4692" w:rsidRDefault="00E82D5F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14:paraId="340C0B2B" w14:textId="6129D5EF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9E4692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32F8BE92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0B0525" w:rsidRPr="009E4692">
        <w:rPr>
          <w:rFonts w:ascii="Times New Roman" w:hAnsi="Times New Roman"/>
          <w:bCs/>
          <w:iCs/>
          <w:sz w:val="26"/>
          <w:szCs w:val="26"/>
        </w:rPr>
        <w:t>9539,3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0B0525" w:rsidRPr="009E4692">
        <w:rPr>
          <w:rFonts w:ascii="Times New Roman" w:hAnsi="Times New Roman"/>
          <w:bCs/>
          <w:iCs/>
          <w:sz w:val="26"/>
          <w:szCs w:val="26"/>
        </w:rPr>
        <w:t>18534,0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F80A45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0B0525" w:rsidRPr="009E4692">
        <w:rPr>
          <w:rFonts w:ascii="Times New Roman" w:hAnsi="Times New Roman"/>
          <w:bCs/>
          <w:iCs/>
          <w:sz w:val="26"/>
          <w:szCs w:val="26"/>
        </w:rPr>
        <w:t>8332,5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Pr="009E4692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9E4692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3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4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5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6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9E4692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 w:rsidRPr="009E469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9E4692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9E4692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4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9E4692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9E4692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854498" w:rsidRPr="009E4692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4DAAF3B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325413A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5E82267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2039,9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420B4DD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2059,8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46B544E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33216D6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246E91D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854498" w:rsidRPr="009E4692" w14:paraId="3FAE5EB3" w14:textId="592A245E" w:rsidTr="00774DEF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40DE7A6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320B180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6EA50D5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4CFCE1A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444,6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1C6975A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14D31AB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01B4241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854498" w:rsidRPr="009E4692" w14:paraId="74DAD70E" w14:textId="2FFFB1B8" w:rsidTr="00774DEF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76DA334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366,1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2BEDA38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56A74B2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6AFA301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417,2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1B12D86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3D05251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096BA66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854498" w:rsidRPr="009E4692" w14:paraId="35030D77" w14:textId="65FAC751" w:rsidTr="00774DEF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01DAFA1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48B7DFF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51183B1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299F8D7D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6903CDB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51F81FD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36E9D7E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854498" w:rsidRPr="009E4692" w14:paraId="1EDAB768" w14:textId="2CEF3F6B" w:rsidTr="00774DEF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Налог на имущество </w:t>
            </w:r>
            <w:proofErr w:type="spellStart"/>
            <w:proofErr w:type="gramStart"/>
            <w:r w:rsidRPr="009E4692"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440C116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1E058D5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560D11E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4E74EB6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76781E3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792B321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092D729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54498" w:rsidRPr="009E4692" w14:paraId="6BCEC3B6" w14:textId="2536B078" w:rsidTr="00774DEF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2F92341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16E6494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1B94FABD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3D63DA0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3AAF652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75C86E9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2548A15B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854498" w:rsidRPr="009E4692" w14:paraId="7B561F3A" w14:textId="15D32B3E" w:rsidTr="00774DEF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6E62E09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624E29F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6BABC16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3727E88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111182E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67D7A04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562D6F48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112</w:t>
            </w:r>
          </w:p>
        </w:tc>
      </w:tr>
      <w:tr w:rsidR="00854498" w:rsidRPr="009E4692" w14:paraId="06EB7E80" w14:textId="1B15AD65" w:rsidTr="00774DEF">
        <w:trPr>
          <w:gridAfter w:val="1"/>
          <w:wAfter w:w="28" w:type="dxa"/>
        </w:trPr>
        <w:tc>
          <w:tcPr>
            <w:tcW w:w="3256" w:type="dxa"/>
          </w:tcPr>
          <w:p w14:paraId="31F8FFBD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BF51" w14:textId="2812F7A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4F1B" w14:textId="7AB4452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9FFD" w14:textId="70CD771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9D4D" w14:textId="155F188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888" w14:textId="7C3DE00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FC10" w14:textId="6CC7F0E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C0ED" w14:textId="4D7122F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854498" w:rsidRPr="009E4692" w14:paraId="606ACD02" w14:textId="698C584A" w:rsidTr="00774DEF">
        <w:trPr>
          <w:gridAfter w:val="1"/>
          <w:wAfter w:w="28" w:type="dxa"/>
        </w:trPr>
        <w:tc>
          <w:tcPr>
            <w:tcW w:w="3256" w:type="dxa"/>
          </w:tcPr>
          <w:p w14:paraId="13609AB7" w14:textId="15B550D8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2A61" w14:textId="0857F46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CB84" w14:textId="314767D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5F99" w14:textId="1B6654FB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E1F7D" w14:textId="3FD6E06C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68D2" w14:textId="316C74C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ED6C" w14:textId="28C83B6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0259" w14:textId="249B9ABD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854498" w:rsidRPr="009E4692" w14:paraId="19EA7202" w14:textId="77777777" w:rsidTr="00854498">
        <w:trPr>
          <w:gridAfter w:val="1"/>
          <w:wAfter w:w="28" w:type="dxa"/>
        </w:trPr>
        <w:tc>
          <w:tcPr>
            <w:tcW w:w="3256" w:type="dxa"/>
          </w:tcPr>
          <w:p w14:paraId="5375274D" w14:textId="2903A8CC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008C009B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15FFF9C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181DF50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504CDEB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3008451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4850680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4FB32C4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54498" w:rsidRPr="009E4692" w14:paraId="245F9F46" w14:textId="64DDA646" w:rsidTr="00854498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B86" w14:textId="27B797C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682" w14:textId="4946BFA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4979" w14:textId="3A32538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E54" w14:textId="37BAA22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CBE7" w14:textId="0DEAA82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817B" w14:textId="7E41A3AD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C723" w14:textId="373116F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54498" w:rsidRPr="009E4692" w14:paraId="3B44B941" w14:textId="6F07C398" w:rsidTr="009E4692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7149CF0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26773,4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3798113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17361,8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5FD9448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16359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2D267E7B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16136,7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38CEF83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771462E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64229EA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854498" w:rsidRPr="009E4692" w14:paraId="1FF51516" w14:textId="2E91F019" w:rsidTr="009E4692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8E01" w14:textId="1F2DD7D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8872,5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826B" w14:textId="3CBF400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9509,7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3CB5" w14:textId="100756D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9072,7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AC91" w14:textId="049AF58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9072,7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6DA7" w14:textId="47C944A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B7CD" w14:textId="0F5CB9DB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8B3" w14:textId="7352B69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854498" w:rsidRPr="009E4692" w14:paraId="00B2BA10" w14:textId="6E7F5EA3" w:rsidTr="009E4692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473382E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1E313BF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61D67C72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231,4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7C711C1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1A4EC5A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5B00FC0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4FD124A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854498" w:rsidRPr="009E4692" w14:paraId="2699E4BC" w14:textId="56B345BB" w:rsidTr="00774DEF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2579116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5175,3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309CC53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0946254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630FB50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6CA1CBC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161273A6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5CEB542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54498" w:rsidRPr="009E4692" w14:paraId="6B51C525" w14:textId="2D34984E" w:rsidTr="00774DEF">
        <w:trPr>
          <w:gridAfter w:val="1"/>
          <w:wAfter w:w="28" w:type="dxa"/>
        </w:trPr>
        <w:tc>
          <w:tcPr>
            <w:tcW w:w="3256" w:type="dxa"/>
          </w:tcPr>
          <w:p w14:paraId="78E8BD83" w14:textId="56E3772D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1" w:name="_Hlk119588976"/>
            <w:r w:rsidRPr="009E4692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4B0987B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12535,1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47A81587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7629,2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164EAFA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63B5DB8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7054,9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E05E" w14:textId="52B2E065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46EA" w14:textId="33575830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C10D" w14:textId="38DEE69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854498" w:rsidRPr="009E4692" w14:paraId="56C30335" w14:textId="7B6A9417" w:rsidTr="00774DEF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854498" w:rsidRPr="009E4692" w:rsidRDefault="00854498" w:rsidP="00854498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5A409DFF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28950,5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7BFA1E7E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19539,3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4570C654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18534,9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1275566A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18332,5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3A80E871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7E61F8E9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0F96F5E3" w:rsidR="00854498" w:rsidRPr="009E4692" w:rsidRDefault="00854498" w:rsidP="008544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678BF64F" w:rsidR="005950A7" w:rsidRPr="009E4692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буд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е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 составлять 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земельный налог</w:t>
      </w:r>
      <w:r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835,0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41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доходов, </w:t>
      </w:r>
      <w:r w:rsidR="000B16AC" w:rsidRPr="009E4692">
        <w:rPr>
          <w:rFonts w:ascii="Times New Roman" w:hAnsi="Times New Roman"/>
          <w:bCs/>
          <w:iCs/>
          <w:sz w:val="26"/>
          <w:szCs w:val="26"/>
        </w:rPr>
        <w:t xml:space="preserve">с 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незначительной </w:t>
      </w:r>
      <w:r w:rsidR="003E23D0" w:rsidRPr="009E4692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 w:rsidRPr="009E4692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9E4692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4148D032" w14:textId="1A4379C3" w:rsidR="005950A7" w:rsidRPr="009E4692" w:rsidRDefault="00854498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lastRenderedPageBreak/>
        <w:t>Налог на доходы физических лиц и н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алог на акцизы по подакцизным товарам 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в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в общем объёме собственных доходов будут составлять 21%, с неизменной динамикой в плановом периоде 2025-2026гг. </w:t>
      </w:r>
    </w:p>
    <w:p w14:paraId="2167EB61" w14:textId="2433E1D6" w:rsidR="005950A7" w:rsidRPr="009E4692" w:rsidRDefault="00854498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Единый сельскохозяйственный налог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на 2024г.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запланирован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в сумме 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2</w:t>
      </w:r>
      <w:r w:rsidRPr="009E4692">
        <w:rPr>
          <w:rFonts w:ascii="Times New Roman" w:hAnsi="Times New Roman"/>
          <w:bCs/>
          <w:iCs/>
          <w:sz w:val="26"/>
          <w:szCs w:val="26"/>
        </w:rPr>
        <w:t>28,0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тыс. </w:t>
      </w:r>
      <w:r w:rsidRPr="009E4692">
        <w:rPr>
          <w:rFonts w:ascii="Times New Roman" w:hAnsi="Times New Roman"/>
          <w:bCs/>
          <w:iCs/>
          <w:sz w:val="26"/>
          <w:szCs w:val="26"/>
        </w:rPr>
        <w:t>или 11,2%</w:t>
      </w:r>
      <w:r w:rsidR="00FA3FFA" w:rsidRPr="009E4692">
        <w:t xml:space="preserve">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в общем объёме собственных доходов.</w:t>
      </w:r>
    </w:p>
    <w:p w14:paraId="2ABD9A38" w14:textId="08ED4C5F" w:rsidR="005950A7" w:rsidRPr="009E4692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на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122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 w:rsidRPr="009E4692"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увеличится на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64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тыс.рублей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 xml:space="preserve"> или 210%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D20FBD" w14:textId="5DA83AA3" w:rsidR="005950A7" w:rsidRPr="009E4692" w:rsidRDefault="00A27ADF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Доля н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еналоговы</w:t>
      </w:r>
      <w:r w:rsidRPr="009E4692">
        <w:rPr>
          <w:rFonts w:ascii="Times New Roman" w:hAnsi="Times New Roman"/>
          <w:bCs/>
          <w:iCs/>
          <w:sz w:val="26"/>
          <w:szCs w:val="26"/>
        </w:rPr>
        <w:t>х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доход</w:t>
      </w:r>
      <w:r w:rsidRPr="009E4692">
        <w:rPr>
          <w:rFonts w:ascii="Times New Roman" w:hAnsi="Times New Roman"/>
          <w:bCs/>
          <w:iCs/>
          <w:sz w:val="26"/>
          <w:szCs w:val="26"/>
        </w:rPr>
        <w:t>ов в общем объёме расходов в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Pr="009E4692">
        <w:rPr>
          <w:rFonts w:ascii="Times New Roman" w:hAnsi="Times New Roman"/>
          <w:bCs/>
          <w:iCs/>
          <w:sz w:val="26"/>
          <w:szCs w:val="26"/>
        </w:rPr>
        <w:t>у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 xml:space="preserve">и </w:t>
      </w:r>
      <w:r w:rsidRPr="009E4692">
        <w:rPr>
          <w:rFonts w:ascii="Times New Roman" w:hAnsi="Times New Roman"/>
          <w:bCs/>
          <w:iCs/>
          <w:sz w:val="26"/>
          <w:szCs w:val="26"/>
        </w:rPr>
        <w:t>составит менее 1 %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03B2A4C0" w14:textId="35984CC9" w:rsidR="005950A7" w:rsidRPr="009E4692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A27ADF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7361,8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тыс. рублей, что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ниже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ожидаемого исполнения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9411,6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 xml:space="preserve">дотации </w:t>
      </w:r>
      <w:r w:rsidRPr="009E4692">
        <w:rPr>
          <w:rFonts w:ascii="Times New Roman" w:hAnsi="Times New Roman"/>
          <w:bCs/>
          <w:iCs/>
          <w:sz w:val="26"/>
          <w:szCs w:val="26"/>
        </w:rPr>
        <w:t>(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A27ADF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9509,7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9072,7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тыс.рублей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9072,7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г.) и 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(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7629,2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43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7054,9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44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7054,9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9E4692">
        <w:rPr>
          <w:rFonts w:ascii="Times New Roman" w:hAnsi="Times New Roman"/>
          <w:bCs/>
          <w:iCs/>
          <w:sz w:val="26"/>
          <w:szCs w:val="26"/>
        </w:rPr>
        <w:t>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>г</w:t>
      </w:r>
      <w:r w:rsidR="005820A4" w:rsidRPr="009E4692">
        <w:rPr>
          <w:rFonts w:ascii="Times New Roman" w:hAnsi="Times New Roman"/>
          <w:bCs/>
          <w:iCs/>
          <w:sz w:val="26"/>
          <w:szCs w:val="26"/>
        </w:rPr>
        <w:t>г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679491B4" w14:textId="61828C5E" w:rsidR="0039542C" w:rsidRPr="009E4692" w:rsidRDefault="0039542C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При расчете доходов от акцизов по подакцизным товарам (продукции), производимым на территории Российской Федерации (реестр источников доходов), неверно применен дифференцированный норматив отчислений вместо 0,01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79</w:t>
      </w:r>
      <w:r w:rsidRPr="009E4692">
        <w:rPr>
          <w:rFonts w:ascii="Times New Roman" w:hAnsi="Times New Roman"/>
          <w:bCs/>
          <w:iCs/>
          <w:sz w:val="26"/>
          <w:szCs w:val="26"/>
        </w:rPr>
        <w:t>% применен 0,01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97</w:t>
      </w:r>
      <w:r w:rsidRPr="009E4692">
        <w:rPr>
          <w:rFonts w:ascii="Times New Roman" w:hAnsi="Times New Roman"/>
          <w:bCs/>
          <w:iCs/>
          <w:sz w:val="26"/>
          <w:szCs w:val="26"/>
        </w:rPr>
        <w:t>%.</w:t>
      </w:r>
    </w:p>
    <w:p w14:paraId="761790F3" w14:textId="1F6F290A" w:rsidR="00E82D5F" w:rsidRPr="009E4692" w:rsidRDefault="00E82D5F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352FD">
        <w:rPr>
          <w:rFonts w:ascii="Times New Roman" w:hAnsi="Times New Roman"/>
          <w:bCs/>
          <w:iCs/>
          <w:sz w:val="26"/>
          <w:szCs w:val="26"/>
        </w:rPr>
        <w:t>В нарушение ст.160</w:t>
      </w:r>
      <w:r w:rsidR="004900BD" w:rsidRPr="003352FD">
        <w:rPr>
          <w:rFonts w:ascii="Times New Roman" w:hAnsi="Times New Roman"/>
          <w:bCs/>
          <w:iCs/>
          <w:sz w:val="26"/>
          <w:szCs w:val="26"/>
        </w:rPr>
        <w:t>.</w:t>
      </w:r>
      <w:r w:rsidRPr="003352FD">
        <w:rPr>
          <w:rFonts w:ascii="Times New Roman" w:hAnsi="Times New Roman"/>
          <w:bCs/>
          <w:iCs/>
          <w:sz w:val="26"/>
          <w:szCs w:val="26"/>
        </w:rPr>
        <w:t>1 БК РФ методика прогнозирования поступления доходов на 2024 год и плановый период 2025-2026гг. не утверждена.</w:t>
      </w:r>
    </w:p>
    <w:p w14:paraId="7766FA1E" w14:textId="15DD2928" w:rsidR="005950A7" w:rsidRPr="009E4692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ах</w:t>
      </w:r>
      <w:r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9E4692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4768F9E1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Тюльковского</w:t>
      </w:r>
      <w:r w:rsidR="00C75F84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E4692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 w:rsidRPr="009E4692">
        <w:rPr>
          <w:rFonts w:ascii="Times New Roman" w:hAnsi="Times New Roman"/>
          <w:bCs/>
          <w:iCs/>
          <w:sz w:val="26"/>
          <w:szCs w:val="26"/>
        </w:rPr>
        <w:t>7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9E4692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 w:rsidRPr="009E4692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1134"/>
      </w:tblGrid>
      <w:tr w:rsidR="009B59FB" w:rsidRPr="009E4692" w14:paraId="7484C5EC" w14:textId="44BEBB34" w:rsidTr="009C32F7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4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18CBE3" w14:textId="07ADD91F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5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268A2" w14:textId="4BA1F8AD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6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20A197" w14:textId="38970F98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Доля в общем объеме расходов 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4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г.%</w:t>
            </w:r>
          </w:p>
        </w:tc>
      </w:tr>
      <w:tr w:rsidR="009C32F7" w:rsidRPr="009E4692" w14:paraId="5CD7D0DC" w14:textId="52E406AE" w:rsidTr="009C32F7">
        <w:tc>
          <w:tcPr>
            <w:tcW w:w="2880" w:type="dxa"/>
          </w:tcPr>
          <w:p w14:paraId="24A9DBFC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7AFC2DE2" w:rsidR="009C32F7" w:rsidRPr="009E4692" w:rsidRDefault="00545AA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99825" w14:textId="051ABD9F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6 998,6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E8DFE" w14:textId="76EEB3B4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6 399,8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A3F36" w14:textId="70736FCC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6 344,8</w:t>
            </w:r>
          </w:p>
        </w:tc>
        <w:tc>
          <w:tcPr>
            <w:tcW w:w="1134" w:type="dxa"/>
          </w:tcPr>
          <w:p w14:paraId="10E11F79" w14:textId="1BE2B079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35,8</w:t>
            </w:r>
          </w:p>
        </w:tc>
      </w:tr>
      <w:tr w:rsidR="009C32F7" w:rsidRPr="009E4692" w14:paraId="683858C2" w14:textId="77777777" w:rsidTr="009C32F7">
        <w:tc>
          <w:tcPr>
            <w:tcW w:w="2880" w:type="dxa"/>
          </w:tcPr>
          <w:p w14:paraId="4C8F88BC" w14:textId="2BCF2C9E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7712BB2B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D528" w14:textId="11797F68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5371" w14:textId="364B7986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162D" w14:textId="18F29A48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3DAD90" w14:textId="3F812DEE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9C32F7" w:rsidRPr="009E4692" w14:paraId="64A52B95" w14:textId="320266D2" w:rsidTr="009C32F7">
        <w:tc>
          <w:tcPr>
            <w:tcW w:w="2880" w:type="dxa"/>
          </w:tcPr>
          <w:p w14:paraId="76C449B1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70E41682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259,4</w:t>
            </w:r>
          </w:p>
        </w:tc>
        <w:tc>
          <w:tcPr>
            <w:tcW w:w="1134" w:type="dxa"/>
          </w:tcPr>
          <w:p w14:paraId="7637330F" w14:textId="267C1974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3EAEAD67" w14:textId="01E93FFA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3F1212" w14:textId="6C47FC36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F4216" w14:textId="7D72F7BE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9C32F7" w:rsidRPr="009E4692" w14:paraId="1E76736F" w14:textId="2D06F785" w:rsidTr="009C32F7">
        <w:tc>
          <w:tcPr>
            <w:tcW w:w="2880" w:type="dxa"/>
          </w:tcPr>
          <w:p w14:paraId="2F85D450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0618C992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21CE0" w14:textId="1680C234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1 005,1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AB051" w14:textId="5EAFE3B8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ADF54" w14:textId="3DFA5FCD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</w:tcPr>
          <w:p w14:paraId="7F5285A0" w14:textId="2BE1CBF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</w:t>
            </w:r>
          </w:p>
        </w:tc>
      </w:tr>
      <w:tr w:rsidR="009C32F7" w:rsidRPr="009E4692" w14:paraId="3EC0662E" w14:textId="1BDD42F0" w:rsidTr="009C32F7">
        <w:tc>
          <w:tcPr>
            <w:tcW w:w="2880" w:type="dxa"/>
          </w:tcPr>
          <w:p w14:paraId="41371B9A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Hlk151624745"/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  <w:bookmarkEnd w:id="2"/>
          </w:p>
        </w:tc>
        <w:tc>
          <w:tcPr>
            <w:tcW w:w="900" w:type="dxa"/>
          </w:tcPr>
          <w:p w14:paraId="7A2AB836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2BFCB054" w:rsidR="009C32F7" w:rsidRPr="009E4692" w:rsidRDefault="00545AA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9E494" w14:textId="2D18D979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2F06F" w14:textId="1D81709E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670,7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EB707" w14:textId="168904F5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570,7</w:t>
            </w:r>
          </w:p>
        </w:tc>
        <w:tc>
          <w:tcPr>
            <w:tcW w:w="1134" w:type="dxa"/>
          </w:tcPr>
          <w:p w14:paraId="125DB5C0" w14:textId="40876608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C32F7" w:rsidRPr="009E4692" w14:paraId="142284FB" w14:textId="301241F2" w:rsidTr="009C32F7">
        <w:tc>
          <w:tcPr>
            <w:tcW w:w="2880" w:type="dxa"/>
          </w:tcPr>
          <w:p w14:paraId="761CB5FE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5C674D9" w14:textId="37791078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DBF92" w14:textId="105981B2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10 209,1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F530" w14:textId="562695BC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10 366,9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D38A2" w14:textId="5AC84F15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10 075,8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78A76C" w14:textId="61157C89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52,2</w:t>
            </w:r>
          </w:p>
        </w:tc>
      </w:tr>
      <w:tr w:rsidR="009C32F7" w:rsidRPr="009E4692" w14:paraId="3E80BADD" w14:textId="7ABBB126" w:rsidTr="009C32F7">
        <w:tc>
          <w:tcPr>
            <w:tcW w:w="2880" w:type="dxa"/>
          </w:tcPr>
          <w:p w14:paraId="0B545AC4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495AB250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423EBFF1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774F842B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408E538B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7F39F" w14:textId="5BDB3EF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</w:t>
            </w:r>
          </w:p>
        </w:tc>
      </w:tr>
      <w:tr w:rsidR="009C32F7" w:rsidRPr="009E4692" w14:paraId="39977F93" w14:textId="3399D522" w:rsidTr="009C32F7">
        <w:tc>
          <w:tcPr>
            <w:tcW w:w="2880" w:type="dxa"/>
          </w:tcPr>
          <w:p w14:paraId="6B8D7A50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6B350" w14:textId="4D6B8D5A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461,8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9D9DB" w14:textId="54197728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923,6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923FEF" w14:textId="63BB67E2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32F7" w:rsidRPr="009E4692" w14:paraId="05519A67" w14:textId="18AB91B6" w:rsidTr="009C32F7">
        <w:tc>
          <w:tcPr>
            <w:tcW w:w="2880" w:type="dxa"/>
          </w:tcPr>
          <w:p w14:paraId="0405FC27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1C04CD13" w:rsidR="009C32F7" w:rsidRPr="009E4692" w:rsidRDefault="004F5776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26427,9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7D45F4A4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19539,3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547EEAFB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18535,0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234164FB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18332,5</w:t>
            </w:r>
          </w:p>
        </w:tc>
        <w:tc>
          <w:tcPr>
            <w:tcW w:w="1134" w:type="dxa"/>
          </w:tcPr>
          <w:p w14:paraId="0901BD73" w14:textId="4EB4EA90" w:rsidR="009C32F7" w:rsidRPr="009E4692" w:rsidRDefault="009C32F7" w:rsidP="009C3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70725513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расходов бюджета в 202</w:t>
      </w:r>
      <w:r w:rsidR="00A47FA8"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9E4692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9E4692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52,2</w:t>
      </w:r>
      <w:r w:rsidRPr="009E4692">
        <w:rPr>
          <w:rFonts w:ascii="Times New Roman" w:hAnsi="Times New Roman"/>
          <w:bCs/>
          <w:iCs/>
          <w:sz w:val="26"/>
          <w:szCs w:val="26"/>
        </w:rPr>
        <w:t>%, «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-35,8%</w:t>
      </w:r>
      <w:r w:rsidR="00A47FA8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 w:rsidRPr="009E4692">
        <w:rPr>
          <w:rFonts w:ascii="Times New Roman" w:hAnsi="Times New Roman"/>
          <w:bCs/>
          <w:iCs/>
          <w:sz w:val="26"/>
          <w:szCs w:val="26"/>
        </w:rPr>
        <w:t>«</w:t>
      </w:r>
      <w:r w:rsidR="00EC6D41" w:rsidRPr="009E4692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9E4692">
        <w:rPr>
          <w:rFonts w:ascii="Times New Roman" w:hAnsi="Times New Roman"/>
          <w:bCs/>
          <w:iCs/>
          <w:sz w:val="26"/>
          <w:szCs w:val="26"/>
        </w:rPr>
        <w:t>а</w:t>
      </w:r>
      <w:r w:rsidR="00C57EF0"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-5,1%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E82D5F" w:rsidRPr="009E4692">
        <w:rPr>
          <w:rFonts w:ascii="Times New Roman" w:hAnsi="Times New Roman"/>
          <w:bCs/>
          <w:iCs/>
          <w:sz w:val="28"/>
          <w:szCs w:val="28"/>
        </w:rPr>
        <w:t>«</w:t>
      </w:r>
      <w:r w:rsidR="00E82D5F" w:rsidRPr="009E4692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E82D5F" w:rsidRPr="009E4692">
        <w:rPr>
          <w:rFonts w:ascii="Times New Roman" w:hAnsi="Times New Roman"/>
          <w:color w:val="000000" w:themeColor="text1"/>
          <w:sz w:val="24"/>
          <w:szCs w:val="24"/>
        </w:rPr>
        <w:t>»-5,0%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 и «Социальная политика»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 xml:space="preserve"> и «Национальная оборона», </w:t>
      </w:r>
      <w:r w:rsidR="00A47FA8" w:rsidRPr="009E4692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мене</w:t>
      </w:r>
      <w:r w:rsidR="001A3BE2" w:rsidRPr="009E4692">
        <w:rPr>
          <w:rFonts w:ascii="Times New Roman" w:hAnsi="Times New Roman"/>
          <w:bCs/>
          <w:iCs/>
          <w:sz w:val="26"/>
          <w:szCs w:val="26"/>
        </w:rPr>
        <w:t>е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%</w:t>
      </w:r>
      <w:r w:rsidR="00EE0C7A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334412A2" w14:textId="459755CC" w:rsidR="00C8551D" w:rsidRPr="009E4692" w:rsidRDefault="00A47FA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По сравнению с 2023г. в плановом периоде не предусмотрены расходы на</w:t>
      </w:r>
      <w:r w:rsidRPr="009E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4A3E" w:rsidRPr="009E469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E4692">
        <w:rPr>
          <w:rFonts w:ascii="Times New Roman" w:hAnsi="Times New Roman"/>
          <w:color w:val="000000" w:themeColor="text1"/>
          <w:sz w:val="28"/>
          <w:szCs w:val="28"/>
        </w:rPr>
        <w:t>Национальн</w:t>
      </w:r>
      <w:r w:rsidR="00D34A3E" w:rsidRPr="009E4692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9E4692"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безопасность и правоохранительн</w:t>
      </w:r>
      <w:r w:rsidR="00D34A3E" w:rsidRPr="009E4692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9E4692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</w:t>
      </w:r>
      <w:r w:rsidR="00D34A3E" w:rsidRPr="009E4692">
        <w:rPr>
          <w:rFonts w:ascii="Times New Roman" w:hAnsi="Times New Roman"/>
          <w:bCs/>
          <w:iCs/>
          <w:sz w:val="28"/>
          <w:szCs w:val="28"/>
        </w:rPr>
        <w:t>».</w:t>
      </w:r>
    </w:p>
    <w:p w14:paraId="34BC5454" w14:textId="7C8E35F8" w:rsidR="00D34A3E" w:rsidRPr="009E4692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9E4692">
        <w:rPr>
          <w:rFonts w:ascii="Times New Roman" w:hAnsi="Times New Roman"/>
          <w:bCs/>
          <w:iCs/>
          <w:sz w:val="28"/>
          <w:szCs w:val="28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9E4692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9E469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9E4692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Pr="009E4692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E469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E4692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9E4692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</w:t>
      </w:r>
      <w:r w:rsidRPr="009E4692">
        <w:rPr>
          <w:sz w:val="28"/>
          <w:szCs w:val="28"/>
        </w:rPr>
        <w:t xml:space="preserve"> </w:t>
      </w:r>
      <w:r w:rsidRPr="009E4692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4A5C907A" w14:textId="48157D78" w:rsidR="003113FA" w:rsidRPr="009E4692" w:rsidRDefault="00257CE6" w:rsidP="00257CE6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E4692">
        <w:rPr>
          <w:rFonts w:ascii="Times New Roman" w:hAnsi="Times New Roman"/>
          <w:bCs/>
          <w:iCs/>
          <w:sz w:val="28"/>
          <w:szCs w:val="28"/>
        </w:rPr>
        <w:t>М</w:t>
      </w:r>
      <w:r w:rsidR="003113FA" w:rsidRPr="009E4692">
        <w:rPr>
          <w:rFonts w:ascii="Times New Roman" w:hAnsi="Times New Roman"/>
          <w:bCs/>
          <w:iCs/>
          <w:sz w:val="28"/>
          <w:szCs w:val="28"/>
        </w:rPr>
        <w:t>униципальн</w:t>
      </w:r>
      <w:r w:rsidRPr="009E4692">
        <w:rPr>
          <w:rFonts w:ascii="Times New Roman" w:hAnsi="Times New Roman"/>
          <w:bCs/>
          <w:iCs/>
          <w:sz w:val="28"/>
          <w:szCs w:val="28"/>
        </w:rPr>
        <w:t>ая</w:t>
      </w:r>
      <w:r w:rsidR="003113FA" w:rsidRPr="009E4692">
        <w:rPr>
          <w:rFonts w:ascii="Times New Roman" w:hAnsi="Times New Roman"/>
          <w:bCs/>
          <w:iCs/>
          <w:sz w:val="28"/>
          <w:szCs w:val="28"/>
        </w:rPr>
        <w:t xml:space="preserve"> программ</w:t>
      </w:r>
      <w:r w:rsidRPr="009E4692">
        <w:rPr>
          <w:rFonts w:ascii="Times New Roman" w:hAnsi="Times New Roman"/>
          <w:bCs/>
          <w:iCs/>
          <w:sz w:val="28"/>
          <w:szCs w:val="28"/>
        </w:rPr>
        <w:t>а</w:t>
      </w:r>
      <w:r w:rsidR="003113FA" w:rsidRPr="009E46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E4692">
        <w:rPr>
          <w:rFonts w:ascii="Times New Roman" w:eastAsia="Calibri" w:hAnsi="Times New Roman"/>
          <w:bCs/>
          <w:sz w:val="28"/>
          <w:szCs w:val="28"/>
        </w:rPr>
        <w:t>«Создание безопасных и комфортных условий для проживания на территории Тюльковского сельсовета</w:t>
      </w:r>
      <w:r w:rsidRPr="009E4692">
        <w:rPr>
          <w:rFonts w:ascii="Times New Roman" w:hAnsi="Times New Roman"/>
          <w:bCs/>
          <w:iCs/>
          <w:sz w:val="28"/>
          <w:szCs w:val="28"/>
        </w:rPr>
        <w:t>» на момент составления Проекта бюджета не утверждена.</w:t>
      </w:r>
    </w:p>
    <w:p w14:paraId="0A4AFAB1" w14:textId="42A68810" w:rsidR="00624E68" w:rsidRPr="009E4692" w:rsidRDefault="0024645B" w:rsidP="00257C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119411667"/>
      <w:r w:rsidRPr="009E4692">
        <w:rPr>
          <w:rFonts w:ascii="Times New Roman" w:hAnsi="Times New Roman"/>
          <w:sz w:val="28"/>
          <w:szCs w:val="28"/>
        </w:rPr>
        <w:t>С</w:t>
      </w:r>
      <w:r w:rsidR="00624E68" w:rsidRPr="009E4692">
        <w:rPr>
          <w:rFonts w:ascii="Times New Roman" w:hAnsi="Times New Roman"/>
          <w:sz w:val="28"/>
          <w:szCs w:val="28"/>
        </w:rPr>
        <w:t>равнительн</w:t>
      </w:r>
      <w:r w:rsidRPr="009E4692">
        <w:rPr>
          <w:rFonts w:ascii="Times New Roman" w:hAnsi="Times New Roman"/>
          <w:sz w:val="28"/>
          <w:szCs w:val="28"/>
        </w:rPr>
        <w:t>ый</w:t>
      </w:r>
      <w:r w:rsidR="00624E68" w:rsidRPr="009E4692">
        <w:rPr>
          <w:rFonts w:ascii="Times New Roman" w:hAnsi="Times New Roman"/>
          <w:sz w:val="28"/>
          <w:szCs w:val="28"/>
        </w:rPr>
        <w:t xml:space="preserve"> анализа значений показателей Прогноза СЭР с целевыми индикаторами </w:t>
      </w:r>
      <w:r w:rsidR="003113FA" w:rsidRPr="009E4692">
        <w:rPr>
          <w:rFonts w:ascii="Times New Roman" w:hAnsi="Times New Roman"/>
          <w:sz w:val="28"/>
          <w:szCs w:val="28"/>
        </w:rPr>
        <w:t xml:space="preserve">Проекта </w:t>
      </w:r>
      <w:r w:rsidR="00624E68" w:rsidRPr="009E469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E4692">
        <w:rPr>
          <w:rFonts w:ascii="Times New Roman" w:hAnsi="Times New Roman"/>
          <w:sz w:val="28"/>
          <w:szCs w:val="28"/>
        </w:rPr>
        <w:t xml:space="preserve">показал отсутствие </w:t>
      </w:r>
      <w:r w:rsidR="00624E68" w:rsidRPr="009E4692">
        <w:rPr>
          <w:rFonts w:ascii="Times New Roman" w:hAnsi="Times New Roman"/>
          <w:sz w:val="28"/>
          <w:szCs w:val="28"/>
        </w:rPr>
        <w:t>взаимосвязи</w:t>
      </w:r>
      <w:r w:rsidRPr="009E4692">
        <w:rPr>
          <w:rFonts w:ascii="Times New Roman" w:hAnsi="Times New Roman"/>
          <w:sz w:val="28"/>
          <w:szCs w:val="28"/>
        </w:rPr>
        <w:t xml:space="preserve"> между ними, в результате чего, невозможно дать объективную оценку </w:t>
      </w:r>
      <w:bookmarkStart w:id="4" w:name="_Hlk119411686"/>
      <w:bookmarkEnd w:id="3"/>
      <w:r w:rsidR="00624E68" w:rsidRPr="009E4692">
        <w:rPr>
          <w:rFonts w:ascii="Times New Roman" w:hAnsi="Times New Roman"/>
          <w:sz w:val="28"/>
          <w:szCs w:val="28"/>
        </w:rPr>
        <w:t>результативности муниципальной программы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  <w:bookmarkEnd w:id="4"/>
    </w:p>
    <w:p w14:paraId="2B59B718" w14:textId="77777777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lastRenderedPageBreak/>
        <w:t>6.Межбюджетные трансферты</w:t>
      </w:r>
    </w:p>
    <w:p w14:paraId="2BD1CDCA" w14:textId="5CB30B39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 w:rsidRPr="009E4692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 w:rsidRPr="009E4692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CF18AA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737CFE2B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 w:rsidRPr="009E4692">
        <w:rPr>
          <w:rFonts w:ascii="Times New Roman" w:hAnsi="Times New Roman"/>
          <w:bCs/>
          <w:iCs/>
          <w:sz w:val="26"/>
          <w:szCs w:val="26"/>
        </w:rPr>
        <w:t>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061C9A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17E1500F" w14:textId="77777777" w:rsidR="00C8551D" w:rsidRPr="009E4692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9E4692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26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5" w:name="_Hlk120194166"/>
      <w:r w:rsidRPr="009E4692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5"/>
      <w:r w:rsidR="004413AB" w:rsidRPr="009E4692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9E4692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</w:t>
      </w:r>
      <w:r w:rsidR="00070F9E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39B9E7BD" w14:textId="77777777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F18F3" w14:textId="37F47F06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4D0C89F3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проекта решения «О бюджете </w:t>
      </w:r>
      <w:r w:rsidR="00131A5D" w:rsidRPr="009E4692">
        <w:rPr>
          <w:rFonts w:ascii="Times New Roman" w:hAnsi="Times New Roman"/>
          <w:bCs/>
          <w:iCs/>
          <w:sz w:val="26"/>
          <w:szCs w:val="26"/>
        </w:rPr>
        <w:t>Тюльковского</w:t>
      </w:r>
      <w:r w:rsidR="00C127DF" w:rsidRPr="009E4692">
        <w:rPr>
          <w:rFonts w:ascii="Times New Roman" w:hAnsi="Times New Roman"/>
          <w:bCs/>
          <w:iCs/>
          <w:sz w:val="26"/>
          <w:szCs w:val="26"/>
        </w:rPr>
        <w:t xml:space="preserve"> сельского совета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690DDF3D" w:rsidR="00A9630E" w:rsidRPr="009E4692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131A5D" w:rsidRPr="009E4692">
        <w:rPr>
          <w:rFonts w:ascii="Times New Roman" w:hAnsi="Times New Roman"/>
          <w:bCs/>
          <w:iCs/>
          <w:sz w:val="26"/>
          <w:szCs w:val="26"/>
        </w:rPr>
        <w:t>Тюльковского</w:t>
      </w:r>
      <w:r w:rsidR="00A51257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</w:t>
      </w:r>
      <w:r w:rsidR="00131A5D" w:rsidRPr="009E4692">
        <w:rPr>
          <w:rFonts w:ascii="Times New Roman" w:hAnsi="Times New Roman"/>
          <w:bCs/>
          <w:iCs/>
          <w:sz w:val="26"/>
          <w:szCs w:val="26"/>
        </w:rPr>
        <w:t>Тюльковского</w:t>
      </w:r>
      <w:r w:rsidR="00A51257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9E4692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</w:t>
      </w:r>
      <w:r w:rsidR="00131A5D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47A9F0D1" w14:textId="165F096E" w:rsidR="00131A5D" w:rsidRPr="009E4692" w:rsidRDefault="00131A5D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Документы и материалы к </w:t>
      </w:r>
      <w:r w:rsidR="004C0156" w:rsidRPr="009E4692">
        <w:rPr>
          <w:rFonts w:ascii="Times New Roman" w:hAnsi="Times New Roman"/>
          <w:bCs/>
          <w:iCs/>
          <w:sz w:val="26"/>
          <w:szCs w:val="26"/>
        </w:rPr>
        <w:t>Проекту бюджета представлены не в полном объеме</w:t>
      </w:r>
      <w:r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3BC974CA" w14:textId="44F0B4FE" w:rsidR="004C0156" w:rsidRPr="009E4692" w:rsidRDefault="004C0156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В нарушение ст.172 БК РФ Муниципальная программа </w:t>
      </w:r>
      <w:bookmarkStart w:id="6" w:name="_Hlk151628590"/>
      <w:r w:rsidRPr="009E4692">
        <w:rPr>
          <w:rFonts w:ascii="Times New Roman" w:hAnsi="Times New Roman"/>
          <w:bCs/>
          <w:iCs/>
          <w:sz w:val="26"/>
          <w:szCs w:val="26"/>
        </w:rPr>
        <w:t>«Создание безопасных и комфортных условий для проживания на территории Тюльковского сельсовета»</w:t>
      </w:r>
      <w:bookmarkEnd w:id="6"/>
      <w:r w:rsidRPr="009E4692">
        <w:rPr>
          <w:rFonts w:ascii="Times New Roman" w:hAnsi="Times New Roman"/>
          <w:bCs/>
          <w:iCs/>
          <w:sz w:val="26"/>
          <w:szCs w:val="26"/>
        </w:rPr>
        <w:t xml:space="preserve"> на момент составления Проекта бюджета не утверждена</w:t>
      </w:r>
      <w:r w:rsidR="00C70D54">
        <w:rPr>
          <w:rFonts w:ascii="Times New Roman" w:hAnsi="Times New Roman"/>
          <w:bCs/>
          <w:iCs/>
          <w:sz w:val="26"/>
          <w:szCs w:val="26"/>
        </w:rPr>
        <w:t xml:space="preserve"> и требует внесения изменений.</w:t>
      </w:r>
    </w:p>
    <w:p w14:paraId="55A8F098" w14:textId="6C3DDA9E" w:rsidR="00131A5D" w:rsidRPr="003352FD" w:rsidRDefault="00131A5D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352FD">
        <w:rPr>
          <w:rFonts w:ascii="Times New Roman" w:hAnsi="Times New Roman"/>
          <w:bCs/>
          <w:iCs/>
          <w:sz w:val="26"/>
          <w:szCs w:val="26"/>
        </w:rPr>
        <w:t>В нарушение ст.160</w:t>
      </w:r>
      <w:r w:rsidR="004900BD" w:rsidRPr="003352FD">
        <w:rPr>
          <w:rFonts w:ascii="Times New Roman" w:hAnsi="Times New Roman"/>
          <w:bCs/>
          <w:iCs/>
          <w:sz w:val="26"/>
          <w:szCs w:val="26"/>
        </w:rPr>
        <w:t>.</w:t>
      </w:r>
      <w:r w:rsidRPr="003352FD">
        <w:rPr>
          <w:rFonts w:ascii="Times New Roman" w:hAnsi="Times New Roman"/>
          <w:bCs/>
          <w:iCs/>
          <w:sz w:val="26"/>
          <w:szCs w:val="26"/>
        </w:rPr>
        <w:t>1 БК РФ методика прогнозирования поступления доходов на 2024 год и плановый период 2025-2026гг. не утверждена.</w:t>
      </w:r>
    </w:p>
    <w:p w14:paraId="71C767AC" w14:textId="2273DC30" w:rsidR="00F9366D" w:rsidRPr="009E4692" w:rsidRDefault="004C0156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Показатели </w:t>
      </w:r>
      <w:r w:rsidR="00F9366D" w:rsidRPr="009E4692">
        <w:rPr>
          <w:rFonts w:ascii="Times New Roman" w:hAnsi="Times New Roman"/>
          <w:bCs/>
          <w:iCs/>
          <w:sz w:val="26"/>
          <w:szCs w:val="26"/>
        </w:rPr>
        <w:t>Прогноз</w:t>
      </w:r>
      <w:r w:rsidRPr="009E4692">
        <w:rPr>
          <w:rFonts w:ascii="Times New Roman" w:hAnsi="Times New Roman"/>
          <w:bCs/>
          <w:iCs/>
          <w:sz w:val="26"/>
          <w:szCs w:val="26"/>
        </w:rPr>
        <w:t>а</w:t>
      </w:r>
      <w:r w:rsidR="00F9366D" w:rsidRPr="009E4692">
        <w:rPr>
          <w:rFonts w:ascii="Times New Roman" w:hAnsi="Times New Roman"/>
          <w:bCs/>
          <w:iCs/>
          <w:sz w:val="26"/>
          <w:szCs w:val="26"/>
        </w:rPr>
        <w:t xml:space="preserve"> социально-экономического развития муниципального образования </w:t>
      </w:r>
      <w:r w:rsidRPr="009E4692">
        <w:rPr>
          <w:rFonts w:ascii="Times New Roman" w:hAnsi="Times New Roman"/>
          <w:bCs/>
          <w:iCs/>
          <w:sz w:val="26"/>
          <w:szCs w:val="26"/>
        </w:rPr>
        <w:t>не взаимоувязаны с показателями муниципальной программы</w:t>
      </w:r>
      <w:r w:rsidR="00F9366D" w:rsidRPr="009E4692">
        <w:rPr>
          <w:rFonts w:ascii="Times New Roman" w:hAnsi="Times New Roman"/>
          <w:bCs/>
          <w:iCs/>
          <w:sz w:val="26"/>
          <w:szCs w:val="26"/>
        </w:rPr>
        <w:t>, в результате чего не предоставляется возможным оценить достоверность применяемых показателей при анализе проекта бюджета.</w:t>
      </w:r>
    </w:p>
    <w:p w14:paraId="1C590174" w14:textId="388E6C34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1D998AD2" w14:textId="20C657AE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>7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76AF60DA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8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2DCE78F7" w14:textId="77777777" w:rsidR="00C70D54" w:rsidRDefault="00C70D54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</w:p>
    <w:p w14:paraId="19A7CB9E" w14:textId="615C524F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ПРЕДЛОЖЕНИЯ:</w:t>
      </w:r>
    </w:p>
    <w:p w14:paraId="57682FE0" w14:textId="0D18E274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 w:rsidR="00DA25D3" w:rsidRPr="009E4692">
        <w:rPr>
          <w:rFonts w:ascii="Times New Roman" w:hAnsi="Times New Roman"/>
          <w:bCs/>
          <w:iCs/>
          <w:sz w:val="26"/>
          <w:szCs w:val="26"/>
          <w:u w:val="single"/>
        </w:rPr>
        <w:t>Тюльковского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</w:t>
      </w:r>
      <w:r w:rsidRPr="009E4692">
        <w:rPr>
          <w:rFonts w:ascii="Times New Roman" w:hAnsi="Times New Roman"/>
          <w:bCs/>
          <w:iCs/>
          <w:sz w:val="26"/>
          <w:szCs w:val="26"/>
          <w:u w:val="single"/>
        </w:rPr>
        <w:t>:</w:t>
      </w:r>
    </w:p>
    <w:p w14:paraId="224C3ED7" w14:textId="0B23B1A3" w:rsidR="00DA25D3" w:rsidRPr="009E4692" w:rsidRDefault="00DA25D3" w:rsidP="00DA25D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Утвердить муниципальную программу «Создание безопасных и комфортных условий для проживания на территории Тюльковского сельсовета».</w:t>
      </w:r>
    </w:p>
    <w:p w14:paraId="3C97528E" w14:textId="48C3E951" w:rsidR="00502C77" w:rsidRPr="009E4692" w:rsidRDefault="00502C77" w:rsidP="002170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Актуализировать </w:t>
      </w:r>
      <w:r w:rsidR="00217003" w:rsidRPr="009E4692">
        <w:rPr>
          <w:rFonts w:ascii="Times New Roman" w:hAnsi="Times New Roman"/>
          <w:bCs/>
          <w:iCs/>
          <w:sz w:val="26"/>
          <w:szCs w:val="26"/>
        </w:rPr>
        <w:t>показатели прогноза СЭР территории</w:t>
      </w:r>
      <w:r w:rsidR="00DA25D3" w:rsidRPr="009E4692">
        <w:rPr>
          <w:rFonts w:ascii="Times New Roman" w:hAnsi="Times New Roman"/>
          <w:bCs/>
          <w:iCs/>
          <w:sz w:val="26"/>
          <w:szCs w:val="26"/>
        </w:rPr>
        <w:t xml:space="preserve"> с показателями Муниципальной программы</w:t>
      </w:r>
      <w:r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3CDC0644" w14:textId="718C34FE" w:rsidR="00D009AE" w:rsidRPr="00D009AE" w:rsidRDefault="00D009AE" w:rsidP="00D009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Предоставить в КСО информацию об устранении нарушений в срок до 01.12.2023г.</w:t>
      </w:r>
    </w:p>
    <w:p w14:paraId="3C651A91" w14:textId="3C06A715" w:rsidR="00A9630E" w:rsidRPr="009E4692" w:rsidRDefault="00DA25D3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9E4692">
        <w:rPr>
          <w:rFonts w:ascii="Times New Roman" w:hAnsi="Times New Roman"/>
          <w:bCs/>
          <w:iCs/>
          <w:sz w:val="26"/>
          <w:szCs w:val="26"/>
          <w:u w:val="single"/>
        </w:rPr>
        <w:t>Тюльковскому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сельск</w:t>
      </w:r>
      <w:r w:rsidR="003E0F5A" w:rsidRPr="009E4692">
        <w:rPr>
          <w:rFonts w:ascii="Times New Roman" w:hAnsi="Times New Roman"/>
          <w:bCs/>
          <w:iCs/>
          <w:sz w:val="26"/>
          <w:szCs w:val="26"/>
          <w:u w:val="single"/>
        </w:rPr>
        <w:t>о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>му</w:t>
      </w:r>
      <w:r w:rsidR="005C3189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</w:t>
      </w:r>
      <w:r w:rsidR="00A9630E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Совету депутатов: </w:t>
      </w:r>
    </w:p>
    <w:p w14:paraId="0DB8F955" w14:textId="47B8C40F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Контрольно-счетный орган Балахтинского района в соответствии со статьями 184.1, 184.2, 187 Бюджетного кодекса РФ, рекомендует рассмотреть проект нормативного правового акта «О бюджете</w:t>
      </w:r>
      <w:r w:rsidR="00DA25D3" w:rsidRPr="009E4692">
        <w:rPr>
          <w:rFonts w:ascii="Times New Roman" w:hAnsi="Times New Roman"/>
          <w:bCs/>
          <w:iCs/>
          <w:sz w:val="26"/>
          <w:szCs w:val="26"/>
        </w:rPr>
        <w:t xml:space="preserve"> Тюльковского</w:t>
      </w:r>
      <w:r w:rsidR="00682E5D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3263B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на 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>годы» с учетом замечаний и предложений, указанных в настоящем заключении.</w:t>
      </w: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E6A957B" w14:textId="77777777" w:rsidR="003352FD" w:rsidRDefault="003352F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E0DB8A9" w14:textId="77777777" w:rsidR="003352FD" w:rsidRPr="009E4692" w:rsidRDefault="003352F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9E4692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9E4692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9E4692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 w:rsidRPr="009E4692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proofErr w:type="spellStart"/>
      <w:r w:rsidR="00095296" w:rsidRPr="009E4692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 w:rsidRPr="009E4692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9E4692" w:rsidSect="009E46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4430"/>
    <w:rsid w:val="00016C92"/>
    <w:rsid w:val="00017221"/>
    <w:rsid w:val="00025895"/>
    <w:rsid w:val="00037239"/>
    <w:rsid w:val="00045559"/>
    <w:rsid w:val="00046584"/>
    <w:rsid w:val="00047B68"/>
    <w:rsid w:val="000554A1"/>
    <w:rsid w:val="00056105"/>
    <w:rsid w:val="00061C9A"/>
    <w:rsid w:val="000702FE"/>
    <w:rsid w:val="00070F9E"/>
    <w:rsid w:val="00075451"/>
    <w:rsid w:val="000914C0"/>
    <w:rsid w:val="00095296"/>
    <w:rsid w:val="00095EB2"/>
    <w:rsid w:val="000A743C"/>
    <w:rsid w:val="000B0525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A5D"/>
    <w:rsid w:val="00131CA7"/>
    <w:rsid w:val="00133643"/>
    <w:rsid w:val="00134637"/>
    <w:rsid w:val="001361C6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2AD7"/>
    <w:rsid w:val="00235594"/>
    <w:rsid w:val="00237DFD"/>
    <w:rsid w:val="0024454E"/>
    <w:rsid w:val="0024615F"/>
    <w:rsid w:val="0024645B"/>
    <w:rsid w:val="00253EE0"/>
    <w:rsid w:val="00257859"/>
    <w:rsid w:val="00257CE6"/>
    <w:rsid w:val="00261FF0"/>
    <w:rsid w:val="00263E92"/>
    <w:rsid w:val="00271D7E"/>
    <w:rsid w:val="002775D6"/>
    <w:rsid w:val="002942EB"/>
    <w:rsid w:val="002A20F6"/>
    <w:rsid w:val="002D2728"/>
    <w:rsid w:val="002E6AFF"/>
    <w:rsid w:val="002F5816"/>
    <w:rsid w:val="002F67E1"/>
    <w:rsid w:val="003113FA"/>
    <w:rsid w:val="0031392A"/>
    <w:rsid w:val="00315B78"/>
    <w:rsid w:val="00317026"/>
    <w:rsid w:val="003201CC"/>
    <w:rsid w:val="003221DB"/>
    <w:rsid w:val="003263B4"/>
    <w:rsid w:val="00334AFE"/>
    <w:rsid w:val="003352FD"/>
    <w:rsid w:val="00344E55"/>
    <w:rsid w:val="003453FE"/>
    <w:rsid w:val="003461C9"/>
    <w:rsid w:val="00346E78"/>
    <w:rsid w:val="00354B0E"/>
    <w:rsid w:val="0035754B"/>
    <w:rsid w:val="00360BF2"/>
    <w:rsid w:val="003610C9"/>
    <w:rsid w:val="003749E0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60B67"/>
    <w:rsid w:val="00472C70"/>
    <w:rsid w:val="0047584F"/>
    <w:rsid w:val="00485F3C"/>
    <w:rsid w:val="00486443"/>
    <w:rsid w:val="004900BD"/>
    <w:rsid w:val="0049779A"/>
    <w:rsid w:val="004A1E81"/>
    <w:rsid w:val="004A43A2"/>
    <w:rsid w:val="004A63BE"/>
    <w:rsid w:val="004B29B5"/>
    <w:rsid w:val="004C0156"/>
    <w:rsid w:val="004C37B0"/>
    <w:rsid w:val="004E2EE4"/>
    <w:rsid w:val="004E3745"/>
    <w:rsid w:val="004E5BBD"/>
    <w:rsid w:val="004E5FEA"/>
    <w:rsid w:val="004F5776"/>
    <w:rsid w:val="00502769"/>
    <w:rsid w:val="00502C77"/>
    <w:rsid w:val="00513661"/>
    <w:rsid w:val="005142FD"/>
    <w:rsid w:val="00524B82"/>
    <w:rsid w:val="00543B23"/>
    <w:rsid w:val="00545AA7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B32FB"/>
    <w:rsid w:val="005B4649"/>
    <w:rsid w:val="005B5001"/>
    <w:rsid w:val="005C3189"/>
    <w:rsid w:val="005C7F19"/>
    <w:rsid w:val="005D1635"/>
    <w:rsid w:val="005D47B7"/>
    <w:rsid w:val="005E0DD3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604D"/>
    <w:rsid w:val="006825E2"/>
    <w:rsid w:val="00682E5D"/>
    <w:rsid w:val="00683D9C"/>
    <w:rsid w:val="00685290"/>
    <w:rsid w:val="0069378D"/>
    <w:rsid w:val="00694545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22037"/>
    <w:rsid w:val="00726244"/>
    <w:rsid w:val="007303DE"/>
    <w:rsid w:val="0073471E"/>
    <w:rsid w:val="00736A08"/>
    <w:rsid w:val="00737669"/>
    <w:rsid w:val="0074244F"/>
    <w:rsid w:val="007435B7"/>
    <w:rsid w:val="0074687F"/>
    <w:rsid w:val="00753793"/>
    <w:rsid w:val="0075565E"/>
    <w:rsid w:val="007566BC"/>
    <w:rsid w:val="00770C7A"/>
    <w:rsid w:val="007737CB"/>
    <w:rsid w:val="00774DEF"/>
    <w:rsid w:val="007779B5"/>
    <w:rsid w:val="00781A7C"/>
    <w:rsid w:val="00784DC5"/>
    <w:rsid w:val="00787A51"/>
    <w:rsid w:val="00787BF5"/>
    <w:rsid w:val="007A1392"/>
    <w:rsid w:val="007A3527"/>
    <w:rsid w:val="007B25A2"/>
    <w:rsid w:val="007B2D21"/>
    <w:rsid w:val="007C7780"/>
    <w:rsid w:val="007D64E8"/>
    <w:rsid w:val="007E252C"/>
    <w:rsid w:val="007F7CA7"/>
    <w:rsid w:val="00801145"/>
    <w:rsid w:val="00810CEC"/>
    <w:rsid w:val="00812B3D"/>
    <w:rsid w:val="00816AAF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54498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90609F"/>
    <w:rsid w:val="0091173C"/>
    <w:rsid w:val="009140ED"/>
    <w:rsid w:val="00914889"/>
    <w:rsid w:val="00914D62"/>
    <w:rsid w:val="00924A60"/>
    <w:rsid w:val="00930F3E"/>
    <w:rsid w:val="00933DAC"/>
    <w:rsid w:val="00937960"/>
    <w:rsid w:val="009429D5"/>
    <w:rsid w:val="00955201"/>
    <w:rsid w:val="00955F62"/>
    <w:rsid w:val="00974B3D"/>
    <w:rsid w:val="00974FD6"/>
    <w:rsid w:val="009A13C5"/>
    <w:rsid w:val="009A286E"/>
    <w:rsid w:val="009A46CF"/>
    <w:rsid w:val="009B2B5A"/>
    <w:rsid w:val="009B59FB"/>
    <w:rsid w:val="009C32F7"/>
    <w:rsid w:val="009E4692"/>
    <w:rsid w:val="009F114D"/>
    <w:rsid w:val="00A01FF0"/>
    <w:rsid w:val="00A14557"/>
    <w:rsid w:val="00A21E2A"/>
    <w:rsid w:val="00A23BA0"/>
    <w:rsid w:val="00A27ADF"/>
    <w:rsid w:val="00A41633"/>
    <w:rsid w:val="00A4191B"/>
    <w:rsid w:val="00A42E92"/>
    <w:rsid w:val="00A47FA8"/>
    <w:rsid w:val="00A51257"/>
    <w:rsid w:val="00A54BA3"/>
    <w:rsid w:val="00A70DEF"/>
    <w:rsid w:val="00A81D43"/>
    <w:rsid w:val="00A9123A"/>
    <w:rsid w:val="00A9630E"/>
    <w:rsid w:val="00AA030B"/>
    <w:rsid w:val="00AB074E"/>
    <w:rsid w:val="00AB1E50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45EAD"/>
    <w:rsid w:val="00B50C9D"/>
    <w:rsid w:val="00B52818"/>
    <w:rsid w:val="00B53A39"/>
    <w:rsid w:val="00B5527E"/>
    <w:rsid w:val="00B61AF0"/>
    <w:rsid w:val="00B64DB3"/>
    <w:rsid w:val="00B95DB3"/>
    <w:rsid w:val="00BA1F6A"/>
    <w:rsid w:val="00BB3986"/>
    <w:rsid w:val="00BB68A3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2DB0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0D54"/>
    <w:rsid w:val="00C73B00"/>
    <w:rsid w:val="00C74DE5"/>
    <w:rsid w:val="00C75585"/>
    <w:rsid w:val="00C75F84"/>
    <w:rsid w:val="00C811DE"/>
    <w:rsid w:val="00C8551D"/>
    <w:rsid w:val="00C860FF"/>
    <w:rsid w:val="00C8661E"/>
    <w:rsid w:val="00C86900"/>
    <w:rsid w:val="00C9498C"/>
    <w:rsid w:val="00CA1851"/>
    <w:rsid w:val="00CB128A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09AE"/>
    <w:rsid w:val="00D013C8"/>
    <w:rsid w:val="00D01FF7"/>
    <w:rsid w:val="00D2275F"/>
    <w:rsid w:val="00D243DD"/>
    <w:rsid w:val="00D26E62"/>
    <w:rsid w:val="00D32EC7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25D3"/>
    <w:rsid w:val="00DA43F2"/>
    <w:rsid w:val="00DD3AB0"/>
    <w:rsid w:val="00DD7361"/>
    <w:rsid w:val="00DE044C"/>
    <w:rsid w:val="00E00365"/>
    <w:rsid w:val="00E0333A"/>
    <w:rsid w:val="00E038BE"/>
    <w:rsid w:val="00E04192"/>
    <w:rsid w:val="00E309A5"/>
    <w:rsid w:val="00E346AA"/>
    <w:rsid w:val="00E41747"/>
    <w:rsid w:val="00E459A8"/>
    <w:rsid w:val="00E50266"/>
    <w:rsid w:val="00E5207A"/>
    <w:rsid w:val="00E70113"/>
    <w:rsid w:val="00E71E7B"/>
    <w:rsid w:val="00E74919"/>
    <w:rsid w:val="00E74D87"/>
    <w:rsid w:val="00E82D5F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F01D8D"/>
    <w:rsid w:val="00F14C8E"/>
    <w:rsid w:val="00F20C82"/>
    <w:rsid w:val="00F21081"/>
    <w:rsid w:val="00F60548"/>
    <w:rsid w:val="00F654B0"/>
    <w:rsid w:val="00F66171"/>
    <w:rsid w:val="00F75018"/>
    <w:rsid w:val="00F76D34"/>
    <w:rsid w:val="00F80A45"/>
    <w:rsid w:val="00F80AD6"/>
    <w:rsid w:val="00F9366D"/>
    <w:rsid w:val="00F97E5F"/>
    <w:rsid w:val="00FA3718"/>
    <w:rsid w:val="00FA3FFA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50</cp:revision>
  <cp:lastPrinted>2023-11-27T02:18:00Z</cp:lastPrinted>
  <dcterms:created xsi:type="dcterms:W3CDTF">2022-11-30T09:05:00Z</dcterms:created>
  <dcterms:modified xsi:type="dcterms:W3CDTF">2023-11-27T02:22:00Z</dcterms:modified>
</cp:coreProperties>
</file>